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sz w:val="36"/>
          <w:szCs w:val="36"/>
        </w:rPr>
      </w:pPr>
      <w:r>
        <w:rPr>
          <w:rFonts w:hint="eastAsia" w:ascii="宋体" w:hAnsi="宋体"/>
          <w:b/>
          <w:bCs/>
          <w:sz w:val="52"/>
          <w:szCs w:val="52"/>
        </w:rPr>
        <w:t>采购人需求</w:t>
      </w:r>
      <w:r>
        <w:rPr>
          <w:rFonts w:hint="eastAsia" w:ascii="宋体" w:hAnsi="宋体"/>
          <w:b/>
          <w:bCs/>
          <w:sz w:val="36"/>
          <w:szCs w:val="36"/>
        </w:rPr>
        <w:t xml:space="preserve"> </w:t>
      </w:r>
    </w:p>
    <w:p>
      <w:pPr>
        <w:spacing w:line="360" w:lineRule="auto"/>
        <w:rPr>
          <w:rFonts w:hint="eastAsia"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一</w:t>
      </w:r>
      <w:r>
        <w:rPr>
          <w:rFonts w:hint="eastAsia" w:ascii="宋体" w:hAnsi="宋体"/>
          <w:b/>
          <w:bCs/>
          <w:color w:val="000000" w:themeColor="text1"/>
          <w:sz w:val="24"/>
          <w:szCs w:val="24"/>
          <w:lang w:eastAsia="zh-CN"/>
          <w14:textFill>
            <w14:solidFill>
              <w14:schemeClr w14:val="tx1"/>
            </w14:solidFill>
          </w14:textFill>
        </w:rPr>
        <w:t>、</w:t>
      </w:r>
      <w:r>
        <w:rPr>
          <w:rFonts w:hint="eastAsia" w:ascii="宋体" w:hAnsi="宋体"/>
          <w:b/>
          <w:bCs/>
          <w:color w:val="000000" w:themeColor="text1"/>
          <w:sz w:val="24"/>
          <w:szCs w:val="24"/>
          <w14:textFill>
            <w14:solidFill>
              <w14:schemeClr w14:val="tx1"/>
            </w14:solidFill>
          </w14:textFill>
        </w:rPr>
        <w:t>技术要求</w:t>
      </w:r>
    </w:p>
    <w:p>
      <w:pPr>
        <w:spacing w:line="360" w:lineRule="auto"/>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1、投标人应为中华人民共和国具有独立法人地位、具有相应经营范围的企业单位，财务状况良好；</w:t>
      </w:r>
    </w:p>
    <w:p>
      <w:pPr>
        <w:spacing w:line="360" w:lineRule="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2、需具备汽车经营资格，可以</w:t>
      </w:r>
      <w:r>
        <w:rPr>
          <w:rFonts w:hint="eastAsia" w:ascii="宋体" w:hAnsi="宋体"/>
          <w:color w:val="000000" w:themeColor="text1"/>
          <w:kern w:val="0"/>
          <w:sz w:val="24"/>
          <w:szCs w:val="24"/>
          <w:lang w:eastAsia="zh-CN"/>
          <w14:textFill>
            <w14:solidFill>
              <w14:schemeClr w14:val="tx1"/>
            </w14:solidFill>
          </w14:textFill>
        </w:rPr>
        <w:t>开具</w:t>
      </w:r>
      <w:r>
        <w:rPr>
          <w:rFonts w:hint="eastAsia" w:ascii="宋体" w:hAnsi="宋体"/>
          <w:color w:val="000000" w:themeColor="text1"/>
          <w:kern w:val="0"/>
          <w:sz w:val="24"/>
          <w:szCs w:val="24"/>
          <w14:textFill>
            <w14:solidFill>
              <w14:schemeClr w14:val="tx1"/>
            </w14:solidFill>
          </w14:textFill>
        </w:rPr>
        <w:t>机动车销售统一发票；</w:t>
      </w:r>
    </w:p>
    <w:p>
      <w:pPr>
        <w:spacing w:line="360" w:lineRule="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3、投标人所投车辆须为国家发改委或工信部发布的《车辆生产企业及产品公告》中列明的“救护车”车型,提供国家发改委或工信部公布的详细数据资料；</w:t>
      </w:r>
    </w:p>
    <w:p>
      <w:pPr>
        <w:spacing w:line="360" w:lineRule="auto"/>
        <w:rPr>
          <w:rFonts w:hint="eastAsia" w:ascii="宋体" w:hAnsi="宋体" w:eastAsia="宋体"/>
          <w:color w:val="000000" w:themeColor="text1"/>
          <w:kern w:val="0"/>
          <w:sz w:val="24"/>
          <w:szCs w:val="24"/>
          <w:lang w:eastAsia="zh-CN"/>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4、所投车辆必须符合国家环境保护部国六环保要求，符合当地上牌要求</w:t>
      </w:r>
      <w:r>
        <w:rPr>
          <w:rFonts w:hint="eastAsia" w:ascii="宋体" w:hAnsi="宋体"/>
          <w:color w:val="000000" w:themeColor="text1"/>
          <w:kern w:val="0"/>
          <w:sz w:val="24"/>
          <w:szCs w:val="24"/>
          <w:lang w:eastAsia="zh-CN"/>
          <w14:textFill>
            <w14:solidFill>
              <w14:schemeClr w14:val="tx1"/>
            </w14:solidFill>
          </w14:textFill>
        </w:rPr>
        <w:t>；</w:t>
      </w:r>
    </w:p>
    <w:p>
      <w:pPr>
        <w:spacing w:line="360" w:lineRule="auto"/>
        <w:rPr>
          <w:rFonts w:hint="eastAsia" w:ascii="宋体" w:hAnsi="宋体" w:eastAsia="宋体"/>
          <w:color w:val="000000" w:themeColor="text1"/>
          <w:kern w:val="0"/>
          <w:sz w:val="24"/>
          <w:szCs w:val="24"/>
          <w:lang w:eastAsia="zh-CN"/>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5、供应商应具有《医疗器械生产许可证》或《医疗器械经营许可证》</w:t>
      </w:r>
      <w:r>
        <w:rPr>
          <w:rFonts w:hint="eastAsia" w:ascii="宋体" w:hAnsi="宋体"/>
          <w:color w:val="000000" w:themeColor="text1"/>
          <w:kern w:val="0"/>
          <w:sz w:val="24"/>
          <w:szCs w:val="24"/>
          <w:lang w:eastAsia="zh-CN"/>
          <w14:textFill>
            <w14:solidFill>
              <w14:schemeClr w14:val="tx1"/>
            </w14:solidFill>
          </w14:textFill>
        </w:rPr>
        <w:t>；</w:t>
      </w:r>
    </w:p>
    <w:p>
      <w:pPr>
        <w:spacing w:line="360" w:lineRule="auto"/>
        <w:rPr>
          <w:rFonts w:hint="eastAsia" w:ascii="宋体" w:hAnsi="宋体" w:eastAsia="宋体"/>
          <w:color w:val="000000" w:themeColor="text1"/>
          <w:kern w:val="0"/>
          <w:sz w:val="24"/>
          <w:szCs w:val="24"/>
          <w:lang w:eastAsia="zh-CN"/>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w:t>
      </w:r>
      <w:r>
        <w:rPr>
          <w:rFonts w:hint="eastAsia" w:ascii="宋体" w:hAnsi="宋体"/>
          <w:b/>
          <w:bCs/>
          <w:color w:val="000000" w:themeColor="text1"/>
          <w:kern w:val="0"/>
          <w:sz w:val="24"/>
          <w:szCs w:val="24"/>
          <w14:textFill>
            <w14:solidFill>
              <w14:schemeClr w14:val="tx1"/>
            </w14:solidFill>
          </w14:textFill>
        </w:rPr>
        <w:t>救护车要求的参数中“</w:t>
      </w:r>
      <w:r>
        <w:rPr>
          <w:rFonts w:hint="eastAsia" w:asciiTheme="minorEastAsia" w:hAnsiTheme="minorEastAsia" w:eastAsiaTheme="minorEastAsia"/>
          <w:color w:val="000000" w:themeColor="text1"/>
          <w:shd w:val="clear" w:color="auto" w:fill="FFFFFF"/>
          <w14:textFill>
            <w14:solidFill>
              <w14:schemeClr w14:val="tx1"/>
            </w14:solidFill>
          </w14:textFill>
        </w:rPr>
        <w:t>★、</w:t>
      </w:r>
      <w:r>
        <w:rPr>
          <w:rFonts w:hint="eastAsia" w:ascii="仿宋" w:hAnsi="仿宋" w:eastAsia="仿宋"/>
          <w:color w:val="000000" w:themeColor="text1"/>
          <w:kern w:val="0"/>
          <w:sz w:val="24"/>
          <w:szCs w:val="24"/>
          <w14:textFill>
            <w14:solidFill>
              <w14:schemeClr w14:val="tx1"/>
            </w14:solidFill>
          </w14:textFill>
        </w:rPr>
        <w:t>▲</w:t>
      </w:r>
      <w:r>
        <w:rPr>
          <w:b/>
          <w:bCs/>
          <w:color w:val="000000" w:themeColor="text1"/>
          <w:kern w:val="0"/>
          <w:sz w:val="24"/>
          <w:szCs w:val="24"/>
          <w14:textFill>
            <w14:solidFill>
              <w14:schemeClr w14:val="tx1"/>
            </w14:solidFill>
          </w14:textFill>
        </w:rPr>
        <w:t>”</w:t>
      </w:r>
      <w:r>
        <w:rPr>
          <w:rFonts w:hint="eastAsia" w:ascii="宋体" w:hAnsi="宋体"/>
          <w:b/>
          <w:bCs/>
          <w:color w:val="000000" w:themeColor="text1"/>
          <w:kern w:val="0"/>
          <w:sz w:val="24"/>
          <w:szCs w:val="24"/>
          <w14:textFill>
            <w14:solidFill>
              <w14:schemeClr w14:val="tx1"/>
            </w14:solidFill>
          </w14:textFill>
        </w:rPr>
        <w:t>标示的内容为不允许负偏离的实质性要求</w:t>
      </w:r>
      <w:r>
        <w:rPr>
          <w:rFonts w:hint="eastAsia" w:ascii="宋体" w:hAnsi="宋体"/>
          <w:color w:val="000000" w:themeColor="text1"/>
          <w:kern w:val="0"/>
          <w:sz w:val="24"/>
          <w:szCs w:val="24"/>
          <w14:textFill>
            <w14:solidFill>
              <w14:schemeClr w14:val="tx1"/>
            </w14:solidFill>
          </w14:textFill>
        </w:rPr>
        <w:t>。救护车</w:t>
      </w:r>
      <w:r>
        <w:rPr>
          <w:rFonts w:hint="eastAsia" w:ascii="宋体" w:hAnsi="宋体"/>
          <w:color w:val="000000" w:themeColor="text1"/>
          <w:sz w:val="24"/>
          <w:szCs w:val="24"/>
          <w14:textFill>
            <w14:solidFill>
              <w14:schemeClr w14:val="tx1"/>
            </w14:solidFill>
          </w14:textFill>
        </w:rPr>
        <w:t>车载</w:t>
      </w:r>
      <w:r>
        <w:rPr>
          <w:rFonts w:hint="eastAsia" w:ascii="宋体" w:hAnsi="宋体"/>
          <w:color w:val="000000" w:themeColor="text1"/>
          <w:kern w:val="0"/>
          <w:sz w:val="24"/>
          <w:szCs w:val="24"/>
          <w14:textFill>
            <w14:solidFill>
              <w14:schemeClr w14:val="tx1"/>
            </w14:solidFill>
          </w14:textFill>
        </w:rPr>
        <w:t>自动上车担架安全带技术</w:t>
      </w:r>
      <w:r>
        <w:rPr>
          <w:rFonts w:hint="eastAsia" w:ascii="宋体" w:hAnsi="宋体"/>
          <w:color w:val="000000" w:themeColor="text1"/>
          <w:sz w:val="24"/>
          <w:szCs w:val="24"/>
          <w14:textFill>
            <w14:solidFill>
              <w14:schemeClr w14:val="tx1"/>
            </w14:solidFill>
          </w14:textFill>
        </w:rPr>
        <w:t>设备等</w:t>
      </w:r>
      <w:r>
        <w:rPr>
          <w:rFonts w:hint="eastAsia" w:ascii="宋体" w:hAnsi="宋体"/>
          <w:color w:val="000000" w:themeColor="text1"/>
          <w:kern w:val="0"/>
          <w:sz w:val="24"/>
          <w:szCs w:val="24"/>
          <w14:textFill>
            <w14:solidFill>
              <w14:schemeClr w14:val="tx1"/>
            </w14:solidFill>
          </w14:textFill>
        </w:rPr>
        <w:t>须提供制造商针对本项目的授权书及售后服务证明</w:t>
      </w:r>
      <w:r>
        <w:rPr>
          <w:rFonts w:hint="eastAsia" w:ascii="宋体" w:hAnsi="宋体"/>
          <w:color w:val="000000" w:themeColor="text1"/>
          <w:kern w:val="0"/>
          <w:sz w:val="24"/>
          <w:szCs w:val="24"/>
          <w:lang w:eastAsia="zh-CN"/>
          <w14:textFill>
            <w14:solidFill>
              <w14:schemeClr w14:val="tx1"/>
            </w14:solidFill>
          </w14:textFill>
        </w:rPr>
        <w:t>；</w:t>
      </w:r>
    </w:p>
    <w:p>
      <w:pPr>
        <w:widowControl/>
        <w:spacing w:line="360" w:lineRule="auto"/>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7、本项目总价包括：车身价、设备及改装费、安装调试、检测验收、培训、质保期保障等费用（但不包括车辆购置税、交强险、财产险、路桥费等用户使用后产生的费用）</w:t>
      </w:r>
      <w:r>
        <w:rPr>
          <w:rFonts w:hint="eastAsia" w:ascii="宋体" w:hAnsi="宋体"/>
          <w:color w:val="000000" w:themeColor="text1"/>
          <w:sz w:val="24"/>
          <w:szCs w:val="24"/>
          <w:lang w:eastAsia="zh-CN"/>
          <w14:textFill>
            <w14:solidFill>
              <w14:schemeClr w14:val="tx1"/>
            </w14:solidFill>
          </w14:textFill>
        </w:rPr>
        <w:t>。</w:t>
      </w:r>
    </w:p>
    <w:p>
      <w:pPr>
        <w:spacing w:line="360" w:lineRule="auto"/>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二、交货期要求：</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合同签订后30日内交货，</w:t>
      </w:r>
      <w:r>
        <w:rPr>
          <w:rFonts w:hint="eastAsia" w:ascii="宋体" w:hAnsi="宋体"/>
          <w:b/>
          <w:bCs/>
          <w:color w:val="000000" w:themeColor="text1"/>
          <w:kern w:val="0"/>
          <w:sz w:val="24"/>
          <w:szCs w:val="24"/>
          <w14:textFill>
            <w14:solidFill>
              <w14:schemeClr w14:val="tx1"/>
            </w14:solidFill>
          </w14:textFill>
        </w:rPr>
        <w:t>送车到用户指定地点</w:t>
      </w:r>
      <w:r>
        <w:rPr>
          <w:rFonts w:hint="eastAsia" w:ascii="宋体" w:hAnsi="宋体"/>
          <w:b/>
          <w:bCs/>
          <w:color w:val="000000" w:themeColor="text1"/>
          <w:sz w:val="24"/>
          <w:szCs w:val="24"/>
          <w14:textFill>
            <w14:solidFill>
              <w14:schemeClr w14:val="tx1"/>
            </w14:solidFill>
          </w14:textFill>
        </w:rPr>
        <w:t>。</w:t>
      </w:r>
    </w:p>
    <w:p>
      <w:pPr>
        <w:spacing w:line="360" w:lineRule="auto"/>
        <w:ind w:left="361" w:hanging="361" w:hangingChars="150"/>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三、付款方式</w:t>
      </w:r>
    </w:p>
    <w:p>
      <w:pPr>
        <w:spacing w:line="360" w:lineRule="auto"/>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全部货物到达交货地点，安装、调试并验收合格，采购人办理支付手续支付合同额100%</w:t>
      </w:r>
      <w:r>
        <w:rPr>
          <w:rFonts w:hint="eastAsia" w:ascii="宋体" w:hAnsi="宋体"/>
          <w:color w:val="000000" w:themeColor="text1"/>
          <w:sz w:val="24"/>
          <w:szCs w:val="24"/>
          <w:lang w:eastAsia="zh-CN"/>
          <w14:textFill>
            <w14:solidFill>
              <w14:schemeClr w14:val="tx1"/>
            </w14:solidFill>
          </w14:textFill>
        </w:rPr>
        <w:t>。</w:t>
      </w:r>
    </w:p>
    <w:p>
      <w:pPr>
        <w:spacing w:line="360" w:lineRule="auto"/>
        <w:ind w:left="361" w:hanging="361" w:hangingChars="150"/>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四、售后服务要求</w:t>
      </w:r>
    </w:p>
    <w:p>
      <w:pPr>
        <w:spacing w:line="360" w:lineRule="auto"/>
        <w:ind w:left="360" w:hanging="360" w:hangingChars="150"/>
        <w:rPr>
          <w:rFonts w:ascii="宋体" w:hAnsi="宋体"/>
          <w:b/>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1、底盘车辆提供不低于3年或6万公里的保修标准（以先到为准）</w:t>
      </w:r>
      <w:r>
        <w:rPr>
          <w:rFonts w:hint="eastAsia" w:ascii="宋体" w:hAnsi="宋体"/>
          <w:b/>
          <w:bCs/>
          <w:color w:val="000000" w:themeColor="text1"/>
          <w:sz w:val="24"/>
          <w:szCs w:val="24"/>
          <w14:textFill>
            <w14:solidFill>
              <w14:schemeClr w14:val="tx1"/>
            </w14:solidFill>
          </w14:textFill>
        </w:rPr>
        <w:t>。</w:t>
      </w:r>
    </w:p>
    <w:p>
      <w:pPr>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2、改装部分提供</w:t>
      </w:r>
      <w:r>
        <w:rPr>
          <w:rFonts w:hint="eastAsia" w:ascii="宋体" w:hAnsi="宋体"/>
          <w:b/>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年的保修服务</w:t>
      </w:r>
      <w:r>
        <w:rPr>
          <w:rFonts w:hint="eastAsia" w:ascii="宋体" w:hAnsi="宋体"/>
          <w:b/>
          <w:bCs/>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保修期内，由非人为因素引起的故障均在保修范围内，供应商完全免费提供保修服务。保修期外，供应商提供终生的维修服务，且要求相关配件及人工费用低于平均市场价格。</w:t>
      </w:r>
    </w:p>
    <w:p>
      <w:pPr>
        <w:spacing w:line="360" w:lineRule="auto"/>
        <w:ind w:left="360" w:hanging="360" w:hangingChars="150"/>
        <w:rPr>
          <w:rFonts w:ascii="宋体" w:hAnsi="宋体"/>
          <w:b/>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3、随车车载设备按照生产厂家规定的保修期年限质保</w:t>
      </w:r>
      <w:r>
        <w:rPr>
          <w:rFonts w:hint="eastAsia" w:ascii="宋体" w:hAnsi="宋体"/>
          <w:b/>
          <w:bCs/>
          <w:color w:val="000000" w:themeColor="text1"/>
          <w:sz w:val="24"/>
          <w:szCs w:val="24"/>
          <w14:textFill>
            <w14:solidFill>
              <w14:schemeClr w14:val="tx1"/>
            </w14:solidFill>
          </w14:textFill>
        </w:rPr>
        <w:t>。</w:t>
      </w:r>
    </w:p>
    <w:p>
      <w:pPr>
        <w:spacing w:line="360" w:lineRule="auto"/>
        <w:ind w:right="-5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4、供应商需提供至少3人/次的培训服务，确保用户方至少有2名操作人员可熟练使用。</w:t>
      </w:r>
    </w:p>
    <w:p>
      <w:pPr>
        <w:ind w:left="-601" w:leftChars="-286"/>
        <w:jc w:val="center"/>
        <w:rPr>
          <w:rFonts w:hint="eastAsia" w:asciiTheme="minorEastAsia" w:hAnsiTheme="minorEastAsia" w:eastAsiaTheme="minorEastAsia" w:cstheme="minorEastAsia"/>
          <w:b/>
          <w:color w:val="000000" w:themeColor="text1"/>
          <w:kern w:val="0"/>
          <w:sz w:val="28"/>
          <w:szCs w:val="28"/>
          <w14:textFill>
            <w14:solidFill>
              <w14:schemeClr w14:val="tx1"/>
            </w14:solidFill>
          </w14:textFill>
        </w:rPr>
      </w:pPr>
      <w:r>
        <w:rPr>
          <w:color w:val="000000" w:themeColor="text1"/>
          <w14:textFill>
            <w14:solidFill>
              <w14:schemeClr w14:val="tx1"/>
            </w14:solidFill>
          </w14:textFill>
        </w:rPr>
        <w:br w:type="page"/>
      </w:r>
    </w:p>
    <w:tbl>
      <w:tblPr>
        <w:tblStyle w:val="8"/>
        <w:tblW w:w="8505" w:type="dxa"/>
        <w:jc w:val="center"/>
        <w:tblLayout w:type="fixed"/>
        <w:tblCellMar>
          <w:top w:w="0" w:type="dxa"/>
          <w:left w:w="108" w:type="dxa"/>
          <w:bottom w:w="0" w:type="dxa"/>
          <w:right w:w="108" w:type="dxa"/>
        </w:tblCellMar>
      </w:tblPr>
      <w:tblGrid>
        <w:gridCol w:w="1276"/>
        <w:gridCol w:w="2977"/>
        <w:gridCol w:w="4252"/>
      </w:tblGrid>
      <w:tr>
        <w:tblPrEx>
          <w:tblCellMar>
            <w:top w:w="0" w:type="dxa"/>
            <w:left w:w="108" w:type="dxa"/>
            <w:bottom w:w="0" w:type="dxa"/>
            <w:right w:w="108" w:type="dxa"/>
          </w:tblCellMar>
        </w:tblPrEx>
        <w:trPr>
          <w:trHeight w:val="360" w:hRule="atLeast"/>
          <w:jc w:val="center"/>
        </w:trPr>
        <w:tc>
          <w:tcPr>
            <w:tcW w:w="8505" w:type="dxa"/>
            <w:gridSpan w:val="3"/>
            <w:tcBorders>
              <w:top w:val="nil"/>
              <w:bottom w:val="nil"/>
              <w:right w:val="nil"/>
            </w:tcBorders>
            <w:vAlign w:val="center"/>
          </w:tcPr>
          <w:p>
            <w:pPr>
              <w:ind w:left="-601" w:leftChars="-286"/>
              <w:jc w:val="center"/>
              <w:rPr>
                <w:rFonts w:hint="eastAsia"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lang w:eastAsia="zh-CN"/>
              </w:rPr>
              <w:t>五</w:t>
            </w:r>
            <w:r>
              <w:rPr>
                <w:rFonts w:hint="eastAsia" w:asciiTheme="minorEastAsia" w:hAnsiTheme="minorEastAsia" w:eastAsiaTheme="minorEastAsia" w:cstheme="minorEastAsia"/>
                <w:b/>
                <w:kern w:val="0"/>
                <w:sz w:val="28"/>
                <w:szCs w:val="28"/>
              </w:rPr>
              <w:t>、车型参数及配置</w:t>
            </w:r>
          </w:p>
        </w:tc>
      </w:tr>
      <w:tr>
        <w:tblPrEx>
          <w:tblCellMar>
            <w:top w:w="0" w:type="dxa"/>
            <w:left w:w="108" w:type="dxa"/>
            <w:bottom w:w="0" w:type="dxa"/>
            <w:right w:w="108" w:type="dxa"/>
          </w:tblCellMar>
        </w:tblPrEx>
        <w:trPr>
          <w:trHeight w:val="360" w:hRule="atLeast"/>
          <w:jc w:val="center"/>
        </w:trPr>
        <w:tc>
          <w:tcPr>
            <w:tcW w:w="850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车辆技术参数</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车体尺寸 mm:</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5341×1986×2450(长×宽×高)</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医疗舱内尺寸 mm:</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2830×1700×1720(长×宽×高)</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轴距 mm：</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3300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车辆满载总质量 kg:</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3300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车辆整备质量 kg:</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2480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悬挂系统</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333333"/>
                <w:sz w:val="24"/>
              </w:rPr>
            </w:pPr>
            <w:r>
              <w:rPr>
                <w:rFonts w:hint="eastAsia" w:asciiTheme="minorEastAsia" w:hAnsiTheme="minorEastAsia" w:eastAsiaTheme="minorEastAsia" w:cstheme="minorEastAsia"/>
                <w:color w:val="333333"/>
                <w:sz w:val="24"/>
              </w:rPr>
              <w:t>前悬麦弗逊独立悬挂，</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color w:val="333333"/>
                <w:sz w:val="24"/>
              </w:rPr>
              <w:t>后悬钢板弹簧非独立悬挂</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最小离地间隙mm:</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最小转弯半径m：</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en-US" w:eastAsia="zh-CN"/>
              </w:rPr>
              <w:t>4</w:t>
            </w:r>
            <w:r>
              <w:rPr>
                <w:rFonts w:hint="eastAsia" w:asciiTheme="minorEastAsia" w:hAnsiTheme="minorEastAsia" w:eastAsiaTheme="minorEastAsia" w:cstheme="minorEastAsia"/>
                <w:kern w:val="0"/>
                <w:sz w:val="24"/>
              </w:rPr>
              <w:t>5</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燃油种类:</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汽油</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油箱容积（L）：</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发动机型号</w:t>
            </w:r>
          </w:p>
        </w:tc>
        <w:tc>
          <w:tcPr>
            <w:tcW w:w="4252" w:type="dxa"/>
            <w:tcBorders>
              <w:top w:val="single" w:color="auto" w:sz="4" w:space="0"/>
              <w:left w:val="nil"/>
              <w:bottom w:val="single" w:color="auto" w:sz="4" w:space="0"/>
              <w:right w:val="single" w:color="000000" w:sz="4" w:space="0"/>
            </w:tcBorders>
            <w:vAlign w:val="bottom"/>
          </w:tcPr>
          <w:p>
            <w:pPr>
              <w:widowControl/>
              <w:jc w:val="left"/>
              <w:rPr>
                <w:rFonts w:hint="eastAsia" w:asciiTheme="minorEastAsia" w:hAnsiTheme="minorEastAsia" w:eastAsiaTheme="minorEastAsia" w:cstheme="minorEastAsia"/>
                <w:color w:val="FF0000"/>
                <w:kern w:val="0"/>
                <w:sz w:val="24"/>
              </w:rPr>
            </w:pPr>
            <w:r>
              <w:rPr>
                <w:rFonts w:hint="eastAsia" w:asciiTheme="minorEastAsia" w:hAnsiTheme="minorEastAsia" w:eastAsiaTheme="minorEastAsia" w:cstheme="minorEastAsia"/>
                <w:kern w:val="0"/>
                <w:sz w:val="24"/>
              </w:rPr>
              <w:t>ECOBOOST4G20E6L</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工作方式:</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FF0000"/>
                <w:kern w:val="0"/>
                <w:sz w:val="24"/>
              </w:rPr>
            </w:pPr>
            <w:r>
              <w:rPr>
                <w:rFonts w:hint="eastAsia" w:asciiTheme="minorEastAsia" w:hAnsiTheme="minorEastAsia" w:eastAsiaTheme="minorEastAsia" w:cstheme="minorEastAsia"/>
                <w:color w:val="000000"/>
                <w:kern w:val="0"/>
                <w:sz w:val="24"/>
              </w:rPr>
              <w:t>直列、四缸、增压中冷、缸内直喷</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排气量 ml:</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1997</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额定功率 kw(hp)/rpm:</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162/5500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最大扭矩 Nm/rpm:</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en-US" w:eastAsia="zh-CN"/>
              </w:rPr>
              <w:t>350</w:t>
            </w:r>
            <w:r>
              <w:rPr>
                <w:rFonts w:hint="eastAsia" w:asciiTheme="minorEastAsia" w:hAnsiTheme="minorEastAsia" w:eastAsiaTheme="minorEastAsia" w:cstheme="minorEastAsia"/>
                <w:kern w:val="0"/>
                <w:sz w:val="24"/>
              </w:rPr>
              <w:t>/2000-3500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排放标准:</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国Ⅵ</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驱动方式</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前置前驱</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变速器:</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5速手动档</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最高时速 km/h:</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轮胎规格型号</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215/65R16C</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制动系统</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前盘后盘</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2977" w:type="dxa"/>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额定载客（含驾驶员）</w:t>
            </w:r>
          </w:p>
        </w:tc>
        <w:tc>
          <w:tcPr>
            <w:tcW w:w="4252"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7-8人</w:t>
            </w:r>
          </w:p>
        </w:tc>
      </w:tr>
      <w:tr>
        <w:tblPrEx>
          <w:tblCellMar>
            <w:top w:w="0" w:type="dxa"/>
            <w:left w:w="108" w:type="dxa"/>
            <w:bottom w:w="0" w:type="dxa"/>
            <w:right w:w="108" w:type="dxa"/>
          </w:tblCellMar>
        </w:tblPrEx>
        <w:trPr>
          <w:trHeight w:val="360" w:hRule="atLeast"/>
          <w:jc w:val="center"/>
        </w:trPr>
        <w:tc>
          <w:tcPr>
            <w:tcW w:w="8505" w:type="dxa"/>
            <w:gridSpan w:val="3"/>
            <w:tcBorders>
              <w:top w:val="nil"/>
              <w:left w:val="single" w:color="auto" w:sz="4" w:space="0"/>
              <w:bottom w:val="single" w:color="auto" w:sz="4" w:space="0"/>
              <w:right w:val="single" w:color="000000" w:sz="4" w:space="0"/>
            </w:tcBorders>
            <w:vAlign w:val="center"/>
          </w:tcPr>
          <w:p>
            <w:pPr>
              <w:widowControl/>
              <w:jc w:val="center"/>
              <w:rPr>
                <w:rFonts w:hint="eastAsia"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车辆主要配置</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全金属封闭承载式车身</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ABS+EBD</w:t>
            </w:r>
          </w:p>
        </w:tc>
      </w:tr>
      <w:tr>
        <w:tblPrEx>
          <w:tblCellMar>
            <w:top w:w="0" w:type="dxa"/>
            <w:left w:w="108" w:type="dxa"/>
            <w:bottom w:w="0" w:type="dxa"/>
            <w:right w:w="108" w:type="dxa"/>
          </w:tblCellMar>
        </w:tblPrEx>
        <w:trPr>
          <w:trHeight w:val="9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中控锁</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sz w:val="24"/>
              </w:rPr>
              <w:t>前排电动门窗</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sz w:val="24"/>
              </w:rPr>
              <w:t>驾驶座（主）安全气囊</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7229" w:type="dxa"/>
            <w:gridSpan w:val="2"/>
            <w:tcBorders>
              <w:top w:val="single" w:color="auto" w:sz="4" w:space="0"/>
              <w:left w:val="nil"/>
              <w:bottom w:val="single" w:color="auto" w:sz="4" w:space="0"/>
              <w:right w:val="single" w:color="000000" w:sz="4" w:space="0"/>
            </w:tcBorders>
            <w:vAlign w:val="center"/>
          </w:tcPr>
          <w:p>
            <w:pP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遥控钥匙</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sz w:val="24"/>
              </w:rPr>
              <w:t>驾驶室原厂冷暖系统</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备胎</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高位刹车灯</w:t>
            </w:r>
          </w:p>
        </w:tc>
      </w:tr>
      <w:tr>
        <w:tblPrEx>
          <w:tblCellMar>
            <w:top w:w="0" w:type="dxa"/>
            <w:left w:w="108" w:type="dxa"/>
            <w:bottom w:w="0" w:type="dxa"/>
            <w:right w:w="108" w:type="dxa"/>
          </w:tblCellMar>
        </w:tblPrEx>
        <w:trPr>
          <w:trHeight w:val="360" w:hRule="atLeast"/>
          <w:jc w:val="center"/>
        </w:trPr>
        <w:tc>
          <w:tcPr>
            <w:tcW w:w="1276"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备用工具</w:t>
            </w:r>
          </w:p>
        </w:tc>
      </w:tr>
      <w:tr>
        <w:tblPrEx>
          <w:tblCellMar>
            <w:top w:w="0" w:type="dxa"/>
            <w:left w:w="108" w:type="dxa"/>
            <w:bottom w:w="0" w:type="dxa"/>
            <w:right w:w="108" w:type="dxa"/>
          </w:tblCellMar>
        </w:tblPrEx>
        <w:trPr>
          <w:trHeight w:val="360"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胎压显示</w:t>
            </w:r>
          </w:p>
        </w:tc>
      </w:tr>
      <w:tr>
        <w:tblPrEx>
          <w:tblCellMar>
            <w:top w:w="0" w:type="dxa"/>
            <w:left w:w="108" w:type="dxa"/>
            <w:bottom w:w="0" w:type="dxa"/>
            <w:right w:w="108" w:type="dxa"/>
          </w:tblCellMar>
        </w:tblPrEx>
        <w:trPr>
          <w:trHeight w:val="360"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自动雨刮、自动大灯、定速巡航</w:t>
            </w:r>
          </w:p>
        </w:tc>
      </w:tr>
      <w:tr>
        <w:tblPrEx>
          <w:tblCellMar>
            <w:top w:w="0" w:type="dxa"/>
            <w:left w:w="108" w:type="dxa"/>
            <w:bottom w:w="0" w:type="dxa"/>
            <w:right w:w="108" w:type="dxa"/>
          </w:tblCellMar>
        </w:tblPrEx>
        <w:trPr>
          <w:trHeight w:val="360"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7229" w:type="dxa"/>
            <w:gridSpan w:val="2"/>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多功能方向盘、蓝牙电话、可视倒车影像、倒车雷达</w:t>
            </w:r>
          </w:p>
        </w:tc>
      </w:tr>
    </w:tbl>
    <w:p>
      <w:pPr>
        <w:widowControl/>
        <w:jc w:val="center"/>
        <w:rPr>
          <w:rFonts w:hint="eastAsia"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sz w:val="28"/>
          <w:szCs w:val="28"/>
        </w:rPr>
        <w:t>二、医疗舱内外配置</w:t>
      </w:r>
    </w:p>
    <w:tbl>
      <w:tblPr>
        <w:tblStyle w:val="8"/>
        <w:tblW w:w="8652" w:type="dxa"/>
        <w:jc w:val="center"/>
        <w:tblLayout w:type="fixed"/>
        <w:tblCellMar>
          <w:top w:w="0" w:type="dxa"/>
          <w:left w:w="108" w:type="dxa"/>
          <w:bottom w:w="0" w:type="dxa"/>
          <w:right w:w="108" w:type="dxa"/>
        </w:tblCellMar>
      </w:tblPr>
      <w:tblGrid>
        <w:gridCol w:w="877"/>
        <w:gridCol w:w="6665"/>
        <w:gridCol w:w="1110"/>
      </w:tblGrid>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描述</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数量</w:t>
            </w:r>
          </w:p>
        </w:tc>
      </w:tr>
      <w:tr>
        <w:tblPrEx>
          <w:tblCellMar>
            <w:top w:w="0" w:type="dxa"/>
            <w:left w:w="108" w:type="dxa"/>
            <w:bottom w:w="0" w:type="dxa"/>
            <w:right w:w="108" w:type="dxa"/>
          </w:tblCellMar>
        </w:tblPrEx>
        <w:trPr>
          <w:trHeight w:val="360" w:hRule="atLeast"/>
          <w:jc w:val="center"/>
        </w:trPr>
        <w:tc>
          <w:tcPr>
            <w:tcW w:w="865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kern w:val="0"/>
                <w:sz w:val="24"/>
              </w:rPr>
              <w:t>车身涂装</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白色车身+红色强效反光带及急救图徽</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医疗舱窗户上贴玻璃膜2/3</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65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kern w:val="0"/>
                <w:sz w:val="24"/>
              </w:rPr>
              <w:t>警报、照明系统</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ascii="宋体" w:hAnsi="宋体" w:cs="宋体"/>
                <w:sz w:val="24"/>
              </w:rPr>
            </w:pPr>
            <w:r>
              <w:rPr>
                <w:rFonts w:hint="eastAsia" w:ascii="宋体" w:hAnsi="宋体" w:cs="宋体"/>
                <w:sz w:val="24"/>
              </w:rPr>
              <w:t>警报器</w:t>
            </w:r>
          </w:p>
          <w:p>
            <w:pPr>
              <w:widowControl/>
              <w:jc w:val="left"/>
              <w:rPr>
                <w:rFonts w:ascii="宋体" w:hAnsi="宋体" w:cs="宋体"/>
                <w:sz w:val="24"/>
              </w:rPr>
            </w:pPr>
            <w:r>
              <w:rPr>
                <w:rFonts w:hint="eastAsia" w:ascii="宋体" w:hAnsi="宋体" w:cs="宋体"/>
                <w:sz w:val="24"/>
              </w:rPr>
              <w:t>警调名称：开道、救护、手动、汽笛、低音</w:t>
            </w:r>
          </w:p>
          <w:p>
            <w:pPr>
              <w:widowControl/>
              <w:jc w:val="left"/>
              <w:rPr>
                <w:rFonts w:ascii="宋体" w:hAnsi="宋体" w:cs="宋体"/>
                <w:sz w:val="24"/>
              </w:rPr>
            </w:pPr>
            <w:r>
              <w:rPr>
                <w:rFonts w:hint="eastAsia" w:ascii="宋体" w:hAnsi="宋体" w:cs="宋体"/>
                <w:sz w:val="24"/>
              </w:rPr>
              <w:t>工作电压：DC12V/24V</w:t>
            </w:r>
          </w:p>
          <w:p>
            <w:pPr>
              <w:widowControl/>
              <w:jc w:val="left"/>
              <w:rPr>
                <w:rFonts w:ascii="宋体" w:hAnsi="宋体" w:cs="宋体"/>
                <w:sz w:val="24"/>
              </w:rPr>
            </w:pPr>
            <w:r>
              <w:rPr>
                <w:rFonts w:hint="eastAsia" w:ascii="宋体" w:hAnsi="宋体" w:cs="宋体"/>
                <w:sz w:val="24"/>
              </w:rPr>
              <w:t>输出功率：100W</w:t>
            </w:r>
          </w:p>
          <w:p>
            <w:pPr>
              <w:widowControl/>
              <w:jc w:val="left"/>
              <w:rPr>
                <w:rFonts w:ascii="宋体" w:hAnsi="宋体" w:cs="宋体"/>
                <w:sz w:val="24"/>
              </w:rPr>
            </w:pPr>
            <w:r>
              <w:rPr>
                <w:rFonts w:hint="eastAsia" w:ascii="宋体" w:hAnsi="宋体" w:cs="宋体"/>
                <w:sz w:val="24"/>
              </w:rPr>
              <w:t>输出阻抗：8Ω</w:t>
            </w:r>
          </w:p>
          <w:p>
            <w:pPr>
              <w:widowControl/>
              <w:jc w:val="left"/>
              <w:rPr>
                <w:rFonts w:ascii="宋体" w:hAnsi="宋体" w:cs="宋体"/>
                <w:sz w:val="24"/>
              </w:rPr>
            </w:pPr>
            <w:r>
              <w:rPr>
                <w:rFonts w:hint="eastAsia" w:ascii="宋体" w:hAnsi="宋体" w:cs="宋体"/>
                <w:sz w:val="24"/>
              </w:rPr>
              <w:t>话筒频响：200Hz~10KHz±3dB</w:t>
            </w:r>
          </w:p>
          <w:p>
            <w:pPr>
              <w:widowControl/>
              <w:jc w:val="left"/>
              <w:rPr>
                <w:rFonts w:hint="eastAsia" w:asciiTheme="minorEastAsia" w:hAnsiTheme="minorEastAsia" w:eastAsiaTheme="minorEastAsia" w:cstheme="minorEastAsia"/>
                <w:sz w:val="24"/>
              </w:rPr>
            </w:pPr>
            <w:r>
              <w:rPr>
                <w:rFonts w:hint="eastAsia" w:ascii="宋体" w:hAnsi="宋体" w:cs="宋体"/>
                <w:sz w:val="24"/>
              </w:rPr>
              <w:t>新增灯控：2路灯控</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车顶前部设有警灯平台，平台前部装有嵌入式</w:t>
            </w:r>
            <w:r>
              <w:rPr>
                <w:rFonts w:hint="eastAsia" w:asciiTheme="minorEastAsia" w:hAnsiTheme="minorEastAsia" w:eastAsiaTheme="minorEastAsia" w:cstheme="minorEastAsia"/>
                <w:sz w:val="24"/>
                <w:lang w:val="en-US" w:eastAsia="zh-CN"/>
              </w:rPr>
              <w:t>多方位</w:t>
            </w:r>
            <w:r>
              <w:rPr>
                <w:rFonts w:hint="eastAsia" w:asciiTheme="minorEastAsia" w:hAnsiTheme="minorEastAsia" w:eastAsiaTheme="minorEastAsia" w:cstheme="minorEastAsia"/>
                <w:sz w:val="24"/>
              </w:rPr>
              <w:t>LED蓝色警灯</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警灯平台略低于车身高度。</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6665" w:type="dxa"/>
            <w:tcBorders>
              <w:top w:val="single" w:color="auto" w:sz="4" w:space="0"/>
              <w:left w:val="nil"/>
              <w:bottom w:val="single" w:color="auto" w:sz="4" w:space="0"/>
              <w:right w:val="single" w:color="000000" w:sz="4" w:space="0"/>
            </w:tcBorders>
            <w:vAlign w:val="center"/>
          </w:tcPr>
          <w:p>
            <w:pPr>
              <w:widowControl/>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val="en-US" w:eastAsia="zh-CN"/>
              </w:rPr>
              <w:t>车辆尾门安装</w:t>
            </w:r>
            <w:r>
              <w:rPr>
                <w:rFonts w:hint="eastAsia" w:asciiTheme="minorEastAsia" w:hAnsiTheme="minorEastAsia" w:eastAsiaTheme="minorEastAsia" w:cstheme="minorEastAsia"/>
                <w:sz w:val="24"/>
              </w:rPr>
              <w:t>LED蓝色方形警灯。</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2盏</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6665" w:type="dxa"/>
            <w:tcBorders>
              <w:top w:val="single" w:color="auto" w:sz="4" w:space="0"/>
              <w:left w:val="nil"/>
              <w:bottom w:val="single" w:color="auto" w:sz="4" w:space="0"/>
              <w:right w:val="single" w:color="000000" w:sz="4" w:space="0"/>
            </w:tcBorders>
            <w:vAlign w:val="center"/>
          </w:tcPr>
          <w:p>
            <w:pPr>
              <w:widowControl/>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车顶左右两侧安装LED蓝色方形警灯</w:t>
            </w:r>
            <w:r>
              <w:rPr>
                <w:rFonts w:hint="eastAsia" w:asciiTheme="minorEastAsia" w:hAnsiTheme="minorEastAsia" w:eastAsiaTheme="minorEastAsia" w:cstheme="minorEastAsia"/>
                <w:sz w:val="24"/>
                <w:lang w:eastAsia="zh-CN"/>
              </w:rPr>
              <w:t>。</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en-US" w:eastAsia="zh-CN"/>
              </w:rPr>
              <w:t>6</w:t>
            </w:r>
            <w:r>
              <w:rPr>
                <w:rFonts w:hint="eastAsia" w:asciiTheme="minorEastAsia" w:hAnsiTheme="minorEastAsia" w:eastAsiaTheme="minorEastAsia" w:cstheme="minorEastAsia"/>
                <w:kern w:val="0"/>
                <w:sz w:val="24"/>
              </w:rPr>
              <w:t>盏</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6665" w:type="dxa"/>
            <w:tcBorders>
              <w:top w:val="single" w:color="auto" w:sz="4" w:space="0"/>
              <w:left w:val="nil"/>
              <w:bottom w:val="single" w:color="auto" w:sz="4" w:space="0"/>
              <w:right w:val="single" w:color="000000" w:sz="4" w:space="0"/>
            </w:tcBorders>
            <w:vAlign w:val="center"/>
          </w:tcPr>
          <w:p>
            <w:pPr>
              <w:widowControl/>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警灯灯罩采用高透光材料制成，透明度高，不褪色。警灯光源采用进口高亮LED发光管，使用寿命可达5000万次，额定工作电压 DC12V、DC24V，工作温度 -40℃~+75℃。</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lang w:val="en-US" w:eastAsia="zh-CN"/>
              </w:rPr>
              <w:t>8</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中门上方安装外场LED照明灯，为方便使用照明灯与中门门控电路连接，当中门开启时照明灯才能开启。</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1盏</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en-US" w:eastAsia="zh-CN"/>
              </w:rPr>
              <w:t>9</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医疗舱顶部安装输液照明射灯，可调节照射角度，可在急救时加强局部位置的亮度，参数如下：</w:t>
            </w:r>
          </w:p>
          <w:p>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光源：三颗LED</w:t>
            </w:r>
          </w:p>
          <w:p>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电压：DC12V</w:t>
            </w:r>
          </w:p>
          <w:p>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功率：</w:t>
            </w: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rPr>
              <w:t>4W</w:t>
            </w:r>
          </w:p>
          <w:p>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工作温度：-40℃~+75℃</w:t>
            </w:r>
          </w:p>
          <w:p>
            <w:pPr>
              <w:widowControl/>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光色：冷白6000-6500K</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2盏</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10</w:t>
            </w:r>
          </w:p>
        </w:tc>
        <w:tc>
          <w:tcPr>
            <w:tcW w:w="6665" w:type="dxa"/>
            <w:tcBorders>
              <w:top w:val="single" w:color="auto" w:sz="4" w:space="0"/>
              <w:left w:val="nil"/>
              <w:bottom w:val="single" w:color="auto" w:sz="4" w:space="0"/>
              <w:right w:val="single" w:color="000000" w:sz="4" w:space="0"/>
            </w:tcBorders>
            <w:vAlign w:val="center"/>
          </w:tcPr>
          <w:p>
            <w:pPr>
              <w:widowControl/>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医疗舱内部LED方形照明灯</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照明范围广，光线柔和不刺眼。参数如下：</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灯光颜色：黄/白</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功率：12W</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光色：3000K-6500K</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电压：DC12V</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亮度：300lm</w:t>
            </w:r>
          </w:p>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工作温度：-40℃~+60℃</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val="en-US" w:eastAsia="zh-CN"/>
              </w:rPr>
              <w:t>4盏</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11</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en-US" w:eastAsia="zh-CN"/>
              </w:rPr>
              <w:t>医疗舱LED门控照明灯</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val="en-US" w:eastAsia="zh-CN"/>
              </w:rPr>
              <w:t>1盏</w:t>
            </w:r>
          </w:p>
        </w:tc>
      </w:tr>
      <w:tr>
        <w:tblPrEx>
          <w:tblCellMar>
            <w:top w:w="0" w:type="dxa"/>
            <w:left w:w="108" w:type="dxa"/>
            <w:bottom w:w="0" w:type="dxa"/>
            <w:right w:w="108" w:type="dxa"/>
          </w:tblCellMar>
        </w:tblPrEx>
        <w:trPr>
          <w:trHeight w:val="706" w:hRule="atLeast"/>
          <w:jc w:val="center"/>
        </w:trPr>
        <w:tc>
          <w:tcPr>
            <w:tcW w:w="8652" w:type="dxa"/>
            <w:gridSpan w:val="3"/>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C00000"/>
                <w:kern w:val="0"/>
                <w:sz w:val="24"/>
              </w:rPr>
            </w:pPr>
            <w:r>
              <w:rPr>
                <w:rFonts w:hint="eastAsia" w:ascii="宋体" w:hAnsi="宋体"/>
                <w:b/>
                <w:bCs/>
                <w:color w:val="000000" w:themeColor="text1"/>
                <w:kern w:val="0"/>
                <w14:textFill>
                  <w14:solidFill>
                    <w14:schemeClr w14:val="tx1"/>
                  </w14:solidFill>
                </w14:textFill>
              </w:rPr>
              <w:t>车头前面大灯中间安装两组爆闪灯（随车带上）、</w:t>
            </w:r>
            <w:r>
              <w:rPr>
                <w:rFonts w:hint="eastAsia" w:ascii="宋体" w:hAnsi="宋体" w:cs="宋体"/>
                <w:b/>
                <w:bCs/>
                <w:color w:val="000000" w:themeColor="text1"/>
                <w:sz w:val="24"/>
                <w:szCs w:val="24"/>
                <w14:textFill>
                  <w14:solidFill>
                    <w14:schemeClr w14:val="tx1"/>
                  </w14:solidFill>
                </w14:textFill>
              </w:rPr>
              <w:t>中门安装自动升缩上车踏板及后门安装上车踏板、</w:t>
            </w:r>
            <w:r>
              <w:rPr>
                <w:rFonts w:hint="eastAsia" w:ascii="宋体" w:hAnsi="宋体" w:cs="宋体"/>
                <w:b/>
                <w:bCs/>
                <w:color w:val="000000" w:themeColor="text1"/>
                <w:kern w:val="0"/>
                <w:sz w:val="24"/>
                <w:szCs w:val="24"/>
                <w14:textFill>
                  <w14:solidFill>
                    <w14:schemeClr w14:val="tx1"/>
                  </w14:solidFill>
                </w14:textFill>
              </w:rPr>
              <w:t>行车记录仪要求内存64G远程监控定位有行车轨迹，含三年流量、</w:t>
            </w:r>
            <w:r>
              <w:rPr>
                <w:rFonts w:hint="eastAsia" w:ascii="宋体" w:hAnsi="宋体" w:cs="宋体"/>
                <w:b/>
                <w:bCs/>
                <w:color w:val="000000" w:themeColor="text1"/>
                <w:kern w:val="0"/>
                <w:sz w:val="24"/>
                <w:szCs w:val="24"/>
                <w:lang w:val="en-US" w:eastAsia="zh-CN"/>
                <w14:textFill>
                  <w14:solidFill>
                    <w14:schemeClr w14:val="tx1"/>
                  </w14:solidFill>
                </w14:textFill>
              </w:rPr>
              <w:t>120急救平台</w:t>
            </w:r>
            <w:r>
              <w:rPr>
                <w:rFonts w:hint="eastAsia" w:ascii="宋体" w:hAnsi="宋体" w:cs="宋体"/>
                <w:b/>
                <w:bCs/>
                <w:color w:val="000000" w:themeColor="text1"/>
                <w:kern w:val="0"/>
                <w:sz w:val="24"/>
                <w:szCs w:val="24"/>
                <w14:textFill>
                  <w14:solidFill>
                    <w14:schemeClr w14:val="tx1"/>
                  </w14:solidFill>
                </w14:textFill>
              </w:rPr>
              <w:t>前后监控摄像头</w:t>
            </w:r>
            <w:r>
              <w:rPr>
                <w:rFonts w:hint="eastAsia" w:ascii="宋体" w:hAnsi="宋体" w:cs="宋体"/>
                <w:b/>
                <w:bCs/>
                <w:color w:val="000000" w:themeColor="text1"/>
                <w:kern w:val="0"/>
                <w:sz w:val="24"/>
                <w:szCs w:val="24"/>
                <w:lang w:eastAsia="zh-CN"/>
                <w14:textFill>
                  <w14:solidFill>
                    <w14:schemeClr w14:val="tx1"/>
                  </w14:solidFill>
                </w14:textFill>
              </w:rPr>
              <w:t>按照台州市院前急救规范配置，系统为海康威视。</w:t>
            </w:r>
          </w:p>
        </w:tc>
      </w:tr>
      <w:tr>
        <w:tblPrEx>
          <w:tblCellMar>
            <w:top w:w="0" w:type="dxa"/>
            <w:left w:w="108" w:type="dxa"/>
            <w:bottom w:w="0" w:type="dxa"/>
            <w:right w:w="108" w:type="dxa"/>
          </w:tblCellMar>
        </w:tblPrEx>
        <w:trPr>
          <w:trHeight w:val="360" w:hRule="atLeast"/>
          <w:jc w:val="center"/>
        </w:trPr>
        <w:tc>
          <w:tcPr>
            <w:tcW w:w="865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中央电源分配系统</w:t>
            </w:r>
          </w:p>
          <w:p>
            <w:pPr>
              <w:widowControl/>
              <w:jc w:val="cente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kern w:val="0"/>
                <w:sz w:val="24"/>
              </w:rPr>
              <w:t>（由主电瓶、辅助电瓶、智能充电控制装置、带充电功能正弦波逆变器、电控箱、线束、控制面板构成。）</w:t>
            </w:r>
          </w:p>
        </w:tc>
      </w:tr>
      <w:tr>
        <w:tblPrEx>
          <w:tblCellMar>
            <w:top w:w="0" w:type="dxa"/>
            <w:left w:w="108" w:type="dxa"/>
            <w:bottom w:w="0" w:type="dxa"/>
            <w:right w:w="108" w:type="dxa"/>
          </w:tblCellMar>
        </w:tblPrEx>
        <w:trPr>
          <w:trHeight w:val="499"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en-US" w:eastAsia="zh-CN"/>
              </w:rPr>
              <w:t>2</w:t>
            </w:r>
            <w:r>
              <w:rPr>
                <w:rFonts w:hint="eastAsia" w:asciiTheme="minorEastAsia" w:hAnsiTheme="minorEastAsia" w:eastAsiaTheme="minorEastAsia" w:cstheme="minorEastAsia"/>
                <w:kern w:val="0"/>
                <w:sz w:val="24"/>
              </w:rPr>
              <w:t xml:space="preserve"> </w:t>
            </w:r>
          </w:p>
        </w:tc>
        <w:tc>
          <w:tcPr>
            <w:tcW w:w="6665" w:type="dxa"/>
            <w:tcBorders>
              <w:top w:val="single" w:color="auto" w:sz="4" w:space="0"/>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rPr>
              <w:t>车用紧急启动控制装置：</w:t>
            </w:r>
            <w:r>
              <w:rPr>
                <w:rFonts w:hint="eastAsia" w:asciiTheme="minorEastAsia" w:hAnsiTheme="minorEastAsia" w:eastAsiaTheme="minorEastAsia" w:cstheme="minorEastAsia"/>
                <w:sz w:val="24"/>
              </w:rPr>
              <w:t>当主电瓶在低于12V无法正常启动时，按住紧急启动开关可以借助辅助电瓶令汽车迅速启动。</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rPr>
          <w:trHeight w:val="72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en-US" w:eastAsia="zh-CN"/>
              </w:rPr>
              <w:t>3</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智能充电控制装置：1确保主电瓶的正常充电；2自动断开避免发电机过载，延长发电机寿命；3辅助电瓶独立工作，避免偷耗主电瓶电能。</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499"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en-US" w:eastAsia="zh-CN"/>
              </w:rPr>
              <w:t>4</w:t>
            </w:r>
          </w:p>
        </w:tc>
        <w:tc>
          <w:tcPr>
            <w:tcW w:w="666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rPr>
              <w:t>配有车载专用附加免维护蓄电池（12V/</w:t>
            </w:r>
            <w:r>
              <w:rPr>
                <w:rFonts w:hint="eastAsia" w:asciiTheme="minorEastAsia" w:hAnsiTheme="minorEastAsia" w:eastAsiaTheme="minorEastAsia" w:cstheme="minorEastAsia"/>
                <w:color w:val="000000"/>
                <w:kern w:val="0"/>
                <w:sz w:val="24"/>
                <w:lang w:val="en-US" w:eastAsia="zh-CN"/>
              </w:rPr>
              <w:t>6</w:t>
            </w:r>
            <w:r>
              <w:rPr>
                <w:rFonts w:hint="eastAsia" w:asciiTheme="minorEastAsia" w:hAnsiTheme="minorEastAsia" w:eastAsiaTheme="minorEastAsia" w:cstheme="minorEastAsia"/>
                <w:color w:val="000000"/>
                <w:kern w:val="0"/>
                <w:sz w:val="24"/>
              </w:rPr>
              <w:t>0A），可供医疗舱用电器使用</w:t>
            </w:r>
            <w:r>
              <w:rPr>
                <w:rFonts w:hint="eastAsia" w:asciiTheme="minorEastAsia" w:hAnsiTheme="minorEastAsia" w:eastAsiaTheme="minorEastAsia" w:cstheme="minorEastAsia"/>
                <w:color w:val="000000"/>
                <w:kern w:val="0"/>
                <w:sz w:val="24"/>
                <w:lang w:eastAsia="zh-CN"/>
              </w:rPr>
              <w:t>。</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en-US" w:eastAsia="zh-CN"/>
              </w:rPr>
              <w:t>5</w:t>
            </w:r>
          </w:p>
        </w:tc>
        <w:tc>
          <w:tcPr>
            <w:tcW w:w="6665" w:type="dxa"/>
            <w:tcBorders>
              <w:top w:val="single" w:color="auto" w:sz="4" w:space="0"/>
              <w:left w:val="single" w:color="auto" w:sz="4" w:space="0"/>
              <w:bottom w:val="single" w:color="auto" w:sz="4" w:space="0"/>
              <w:right w:val="single" w:color="auto" w:sz="4" w:space="0"/>
            </w:tcBorders>
            <w:vAlign w:val="center"/>
          </w:tcPr>
          <w:p>
            <w:pPr>
              <w:widowControl/>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安装实用新型的一种救护车车载电源装置</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正弦波逆变器逆变功能：</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容量：1kva</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输入电压：140v—280v</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输入频率：40-70hz</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逆变输出电压：220VAC±3%</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逆变输出频率：50HZ±2%</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直流电压：12V</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输出波形：纯正弦波</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失真度：≤3%</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转换时间：≤4ms自动转换</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充电电流：充电电流10amp</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CPU控制充电，智能充电</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过载保护：超载100—120%，25秒后自动锁机；超载120—200%，1秒后自动锁机；超过＞200%，4ms后自动锁机。</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浪涌功率：2kva</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符合标准：欧盟电磁兼容标准 IEEE929/EN61000</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国家标准GB 2099.1-1996  AC220V接头</w:t>
            </w:r>
          </w:p>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德国标准DIN 40 050-9汽车电器装置保护</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en-US" w:eastAsia="zh-CN"/>
              </w:rPr>
              <w:t>6</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rPr>
              <w:t>交直流（220V）电源插座组</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en-US" w:eastAsia="zh-CN"/>
              </w:rPr>
              <w:t>4</w:t>
            </w:r>
            <w:r>
              <w:rPr>
                <w:rFonts w:hint="eastAsia" w:asciiTheme="minorEastAsia" w:hAnsiTheme="minorEastAsia" w:eastAsiaTheme="minorEastAsia" w:cstheme="minorEastAsia"/>
                <w:kern w:val="0"/>
                <w:sz w:val="24"/>
              </w:rPr>
              <w:t>组</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17</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直流（12V）电源插座带USB接口</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1组</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en-US" w:eastAsia="zh-CN"/>
              </w:rPr>
              <w:t>8</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外接电源（220V/1</w:t>
            </w:r>
            <w:r>
              <w:rPr>
                <w:rFonts w:hint="eastAsia" w:asciiTheme="minorEastAsia" w:hAnsiTheme="minorEastAsia" w:eastAsiaTheme="minorEastAsia" w:cstheme="minorEastAsia"/>
                <w:color w:val="000000"/>
                <w:kern w:val="0"/>
                <w:sz w:val="24"/>
                <w:lang w:val="en-US" w:eastAsia="zh-CN"/>
              </w:rPr>
              <w:t>0</w:t>
            </w:r>
            <w:r>
              <w:rPr>
                <w:rFonts w:hint="eastAsia" w:asciiTheme="minorEastAsia" w:hAnsiTheme="minorEastAsia" w:eastAsiaTheme="minorEastAsia" w:cstheme="minorEastAsia"/>
                <w:color w:val="000000"/>
                <w:kern w:val="0"/>
                <w:sz w:val="24"/>
              </w:rPr>
              <w:t>A防水、带防护盖)，配15米移动电缆</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en-US" w:eastAsia="zh-CN"/>
              </w:rPr>
              <w:t>9</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宋体" w:hAnsi="宋体" w:cs="宋体"/>
                <w:color w:val="000000"/>
                <w:kern w:val="0"/>
                <w:sz w:val="24"/>
              </w:rPr>
            </w:pPr>
            <w:r>
              <w:rPr>
                <w:rFonts w:hint="eastAsia" w:ascii="宋体" w:hAnsi="宋体" w:cs="宋体"/>
                <w:color w:val="000000"/>
                <w:kern w:val="0"/>
                <w:sz w:val="24"/>
              </w:rPr>
              <w:t>驾驶室和医疗舱各装一组控制面板</w:t>
            </w:r>
            <w:r>
              <w:rPr>
                <w:rFonts w:hint="eastAsia" w:ascii="宋体" w:hAnsi="宋体" w:cs="宋体"/>
                <w:color w:val="000000"/>
                <w:kern w:val="0"/>
                <w:sz w:val="24"/>
                <w:lang w:eastAsia="zh-CN"/>
              </w:rPr>
              <w:t>。</w:t>
            </w:r>
            <w:r>
              <w:rPr>
                <w:rFonts w:hint="eastAsia" w:ascii="宋体" w:hAnsi="宋体" w:cs="宋体"/>
                <w:color w:val="000000"/>
                <w:kern w:val="0"/>
                <w:sz w:val="24"/>
              </w:rPr>
              <w:t>面板采用</w:t>
            </w:r>
            <w:r>
              <w:rPr>
                <w:rFonts w:hint="eastAsia" w:ascii="宋体" w:hAnsi="宋体" w:cs="宋体"/>
                <w:color w:val="000000"/>
                <w:kern w:val="0"/>
                <w:sz w:val="24"/>
                <w:lang w:val="en-US" w:eastAsia="zh-CN"/>
              </w:rPr>
              <w:t>超薄集成</w:t>
            </w:r>
            <w:r>
              <w:rPr>
                <w:rFonts w:hint="eastAsia" w:ascii="宋体" w:hAnsi="宋体" w:cs="宋体"/>
                <w:color w:val="000000"/>
                <w:kern w:val="0"/>
                <w:sz w:val="24"/>
              </w:rPr>
              <w:t>双回路</w:t>
            </w:r>
            <w:r>
              <w:rPr>
                <w:rFonts w:hint="eastAsia" w:ascii="宋体" w:hAnsi="宋体" w:cs="宋体"/>
                <w:color w:val="000000"/>
                <w:kern w:val="0"/>
                <w:sz w:val="24"/>
                <w:lang w:val="en-US" w:eastAsia="zh-CN"/>
              </w:rPr>
              <w:t>电路，两面板联动控制，采用触摸</w:t>
            </w:r>
            <w:r>
              <w:rPr>
                <w:rFonts w:hint="eastAsia" w:ascii="宋体" w:hAnsi="宋体" w:cs="宋体"/>
                <w:color w:val="000000"/>
                <w:kern w:val="0"/>
                <w:sz w:val="24"/>
              </w:rPr>
              <w:t>式按钮。</w:t>
            </w:r>
          </w:p>
          <w:p>
            <w:pPr>
              <w:widowControl/>
              <w:rPr>
                <w:rFonts w:hint="eastAsia" w:ascii="宋体" w:hAnsi="宋体" w:cs="宋体"/>
                <w:color w:val="000000"/>
                <w:kern w:val="0"/>
                <w:sz w:val="24"/>
              </w:rPr>
            </w:pPr>
            <w:r>
              <w:rPr>
                <w:rFonts w:hint="eastAsia" w:ascii="宋体" w:hAnsi="宋体" w:cs="宋体"/>
                <w:color w:val="000000"/>
                <w:kern w:val="0"/>
                <w:sz w:val="24"/>
              </w:rPr>
              <w:t>医疗舱控制面板可操作：</w:t>
            </w:r>
          </w:p>
          <w:p>
            <w:pPr>
              <w:widowControl/>
              <w:rPr>
                <w:rFonts w:hint="eastAsia" w:ascii="宋体" w:hAnsi="宋体" w:cs="宋体"/>
                <w:color w:val="000000"/>
                <w:kern w:val="0"/>
                <w:sz w:val="24"/>
              </w:rPr>
            </w:pPr>
            <w:r>
              <w:rPr>
                <w:rFonts w:hint="eastAsia" w:ascii="宋体" w:hAnsi="宋体" w:cs="宋体"/>
                <w:color w:val="000000"/>
                <w:kern w:val="0"/>
                <w:sz w:val="24"/>
              </w:rPr>
              <w:t>照明灯、换气系统、前后对讲系统、内射灯</w:t>
            </w:r>
            <w:r>
              <w:rPr>
                <w:rFonts w:hint="eastAsia" w:ascii="宋体" w:hAnsi="宋体" w:cs="宋体"/>
                <w:color w:val="000000"/>
                <w:kern w:val="0"/>
                <w:sz w:val="24"/>
                <w:lang w:eastAsia="zh-CN"/>
              </w:rPr>
              <w:t>、</w:t>
            </w:r>
            <w:r>
              <w:rPr>
                <w:rFonts w:hint="eastAsia" w:ascii="宋体" w:hAnsi="宋体" w:cs="宋体"/>
                <w:sz w:val="24"/>
              </w:rPr>
              <w:t>220V电</w:t>
            </w:r>
            <w:r>
              <w:rPr>
                <w:rFonts w:hint="eastAsia" w:ascii="宋体" w:hAnsi="宋体" w:cs="宋体"/>
                <w:sz w:val="24"/>
                <w:lang w:val="en-US" w:eastAsia="zh-CN"/>
              </w:rPr>
              <w:t>源</w:t>
            </w:r>
            <w:r>
              <w:rPr>
                <w:rFonts w:hint="eastAsia" w:ascii="宋体" w:hAnsi="宋体" w:cs="宋体"/>
                <w:color w:val="000000"/>
                <w:kern w:val="0"/>
                <w:sz w:val="24"/>
              </w:rPr>
              <w:t>。</w:t>
            </w:r>
          </w:p>
          <w:p>
            <w:pPr>
              <w:widowControl/>
              <w:rPr>
                <w:rFonts w:hint="eastAsia" w:asciiTheme="minorEastAsia" w:hAnsiTheme="minorEastAsia" w:eastAsiaTheme="minorEastAsia" w:cstheme="minorEastAsia"/>
                <w:color w:val="000000"/>
                <w:kern w:val="0"/>
                <w:sz w:val="24"/>
              </w:rPr>
            </w:pPr>
            <w:r>
              <w:rPr>
                <w:rFonts w:hint="eastAsia" w:ascii="宋体" w:hAnsi="宋体" w:cs="宋体"/>
                <w:color w:val="000000"/>
                <w:kern w:val="0"/>
                <w:sz w:val="24"/>
              </w:rPr>
              <w:t>驾驶室控制面板可操作对讲机、内射灯、照明灯。</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20</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汽车低压电线束：符合国家汽车行业标准QC/T 29106-2004</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21</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电控箱：利于维护保养的模块集成设计，且</w:t>
            </w:r>
            <w:r>
              <w:rPr>
                <w:rFonts w:hint="eastAsia" w:asciiTheme="minorEastAsia" w:hAnsiTheme="minorEastAsia" w:eastAsiaTheme="minorEastAsia" w:cstheme="minorEastAsia"/>
                <w:color w:val="000000"/>
                <w:kern w:val="0"/>
                <w:sz w:val="24"/>
                <w:lang w:val="zh-CN"/>
              </w:rPr>
              <w:t>在220V电源输出端装有漏电及短路保护器</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65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医疗舱配置</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22</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紫外光灭菌灯（灭菌灯电源启动后，灭菌灯将在延时1分钟后工作，30分钟后自动关闭。）</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1盏</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en-US" w:eastAsia="zh-CN"/>
              </w:rPr>
              <w:t>3</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医疗舱独立冷暖气系统</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12"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en-US" w:eastAsia="zh-CN"/>
              </w:rPr>
              <w:t>4</w:t>
            </w:r>
          </w:p>
        </w:tc>
        <w:tc>
          <w:tcPr>
            <w:tcW w:w="6665" w:type="dxa"/>
            <w:tcBorders>
              <w:top w:val="single" w:color="auto" w:sz="4" w:space="0"/>
              <w:left w:val="nil"/>
              <w:bottom w:val="single" w:color="auto" w:sz="4" w:space="0"/>
              <w:right w:val="single" w:color="auto" w:sz="4" w:space="0"/>
            </w:tcBorders>
            <w:vAlign w:val="center"/>
          </w:tcPr>
          <w:p>
            <w:pPr>
              <w:widowControl/>
              <w:rPr>
                <w:rFonts w:hint="eastAsia" w:asciiTheme="minorEastAsia" w:hAnsiTheme="minorEastAsia" w:eastAsiaTheme="minorEastAsia" w:cstheme="minorEastAsia"/>
                <w:color w:val="000000" w:themeColor="text1"/>
                <w:kern w:val="0"/>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医疗舱双向换气系统（进出风）</w:t>
            </w:r>
            <w:r>
              <w:rPr>
                <w:rFonts w:hint="eastAsia" w:asciiTheme="minorEastAsia" w:hAnsiTheme="minorEastAsia" w:eastAsiaTheme="minorEastAsia" w:cstheme="minorEastAsia"/>
                <w:color w:val="000000" w:themeColor="text1"/>
                <w:kern w:val="0"/>
                <w:sz w:val="24"/>
                <w:lang w:eastAsia="zh-CN"/>
                <w14:textFill>
                  <w14:solidFill>
                    <w14:schemeClr w14:val="tx1"/>
                  </w14:solidFill>
                </w14:textFill>
              </w:rPr>
              <w:t>（要求不走车顶）</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en-US" w:eastAsia="zh-CN"/>
              </w:rPr>
              <w:t>5</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宋体" w:hAnsi="宋体" w:cs="宋体"/>
                <w:sz w:val="24"/>
              </w:rPr>
              <w:t>前后对讲系统</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宋体" w:hAnsi="宋体" w:cs="宋体"/>
                <w:sz w:val="24"/>
              </w:rPr>
              <w:t>1套</w:t>
            </w:r>
          </w:p>
        </w:tc>
      </w:tr>
      <w:tr>
        <w:tblPrEx>
          <w:tblCellMar>
            <w:top w:w="0" w:type="dxa"/>
            <w:left w:w="108" w:type="dxa"/>
            <w:bottom w:w="0" w:type="dxa"/>
            <w:right w:w="108" w:type="dxa"/>
          </w:tblCellMar>
        </w:tblPrEx>
        <w:trPr>
          <w:trHeight w:val="9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en-US" w:eastAsia="zh-CN"/>
              </w:rPr>
              <w:t>6</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医疗舱内壁加固防撞处理</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en-US" w:eastAsia="zh-CN"/>
              </w:rPr>
              <w:t>7</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侧门上车头部防撞保护</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en-US" w:eastAsia="zh-CN"/>
              </w:rPr>
              <w:t>8</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医疗舱顶部安装黄色尼龙抗菌扶手</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1条</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en-US" w:eastAsia="zh-CN"/>
              </w:rPr>
              <w:t>9</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医疗舱顶部输液挂架</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1个</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30</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医疗舱保温隔热层</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31</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宋体" w:hAnsi="宋体" w:cs="宋体"/>
                <w:sz w:val="24"/>
              </w:rPr>
              <w:t>驾驶室与医疗舱安装分隔墙</w:t>
            </w:r>
            <w:r>
              <w:rPr>
                <w:rFonts w:hint="eastAsia" w:ascii="宋体" w:hAnsi="宋体" w:cs="宋体"/>
                <w:sz w:val="24"/>
                <w:lang w:eastAsia="zh-CN"/>
              </w:rPr>
              <w:t>，</w:t>
            </w:r>
            <w:r>
              <w:rPr>
                <w:rFonts w:hint="eastAsia" w:ascii="宋体" w:hAnsi="宋体" w:cs="宋体"/>
                <w:sz w:val="24"/>
              </w:rPr>
              <w:t>带可</w:t>
            </w:r>
            <w:r>
              <w:rPr>
                <w:rFonts w:hint="eastAsia" w:ascii="宋体" w:hAnsi="宋体" w:cs="宋体"/>
                <w:sz w:val="24"/>
                <w:lang w:val="en-US" w:eastAsia="zh-CN"/>
              </w:rPr>
              <w:t>开启</w:t>
            </w:r>
            <w:r>
              <w:rPr>
                <w:rFonts w:hint="eastAsia" w:ascii="宋体" w:hAnsi="宋体" w:cs="宋体"/>
                <w:sz w:val="24"/>
              </w:rPr>
              <w:t>透明窗户</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9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kern w:val="0"/>
                <w:sz w:val="24"/>
                <w:lang w:val="en-US" w:eastAsia="zh-CN"/>
              </w:rPr>
              <w:t>32</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宋体" w:hAnsi="宋体" w:cs="宋体"/>
                <w:sz w:val="24"/>
                <w:lang w:val="en-US" w:eastAsia="zh-CN"/>
              </w:rPr>
              <w:t>医疗舱分隔墙、左右饰板、</w:t>
            </w:r>
            <w:r>
              <w:rPr>
                <w:rFonts w:hint="eastAsia" w:ascii="宋体" w:hAnsi="宋体" w:eastAsia="宋体" w:cs="宋体"/>
                <w:sz w:val="24"/>
                <w:lang w:val="en-US" w:eastAsia="zh-CN"/>
              </w:rPr>
              <w:t>集成内顶</w:t>
            </w:r>
            <w:r>
              <w:rPr>
                <w:rFonts w:hint="eastAsia" w:ascii="宋体" w:hAnsi="宋体" w:cs="宋体"/>
                <w:sz w:val="24"/>
                <w:lang w:val="en-US" w:eastAsia="zh-CN"/>
              </w:rPr>
              <w:t>及全部柜体均</w:t>
            </w:r>
            <w:r>
              <w:rPr>
                <w:rFonts w:hint="eastAsia" w:ascii="宋体" w:hAnsi="宋体" w:cs="宋体"/>
                <w:sz w:val="24"/>
              </w:rPr>
              <w:t>采用ABS板材</w:t>
            </w:r>
            <w:r>
              <w:rPr>
                <w:rFonts w:hint="eastAsia" w:ascii="宋体" w:hAnsi="宋体" w:eastAsia="宋体" w:cs="宋体"/>
                <w:sz w:val="24"/>
                <w:lang w:val="en-US" w:eastAsia="zh-CN"/>
              </w:rPr>
              <w:t>整体模具</w:t>
            </w:r>
            <w:r>
              <w:rPr>
                <w:rFonts w:hint="eastAsia" w:ascii="宋体" w:hAnsi="宋体" w:cs="宋体"/>
                <w:sz w:val="24"/>
              </w:rPr>
              <w:t>吸塑成型</w:t>
            </w:r>
            <w:r>
              <w:rPr>
                <w:rFonts w:hint="eastAsia" w:ascii="宋体" w:hAnsi="宋体" w:cs="宋体"/>
                <w:sz w:val="24"/>
                <w:lang w:eastAsia="zh-CN"/>
              </w:rPr>
              <w:t>，</w:t>
            </w:r>
            <w:r>
              <w:rPr>
                <w:rFonts w:hint="eastAsia" w:ascii="宋体" w:hAnsi="宋体" w:cs="宋体"/>
                <w:kern w:val="0"/>
                <w:sz w:val="24"/>
              </w:rPr>
              <w:t>具有</w:t>
            </w:r>
            <w:r>
              <w:rPr>
                <w:rFonts w:hint="eastAsia" w:ascii="宋体" w:hAnsi="宋体" w:cs="宋体"/>
                <w:kern w:val="0"/>
                <w:sz w:val="24"/>
                <w:lang w:val="en-US" w:eastAsia="zh-CN"/>
              </w:rPr>
              <w:t>整体性强，</w:t>
            </w:r>
            <w:r>
              <w:rPr>
                <w:rFonts w:hint="eastAsia" w:ascii="宋体" w:hAnsi="宋体" w:cs="宋体"/>
                <w:sz w:val="24"/>
              </w:rPr>
              <w:t>产品密度高</w:t>
            </w:r>
            <w:r>
              <w:rPr>
                <w:rFonts w:hint="eastAsia" w:ascii="宋体" w:hAnsi="宋体" w:cs="宋体"/>
                <w:sz w:val="24"/>
                <w:lang w:val="en-US" w:eastAsia="zh-CN"/>
              </w:rPr>
              <w:t>重量轻，</w:t>
            </w:r>
            <w:r>
              <w:rPr>
                <w:rFonts w:hint="eastAsia" w:ascii="宋体" w:hAnsi="宋体" w:cs="宋体"/>
                <w:sz w:val="24"/>
              </w:rPr>
              <w:t>整体抗冲击能力强</w:t>
            </w:r>
            <w:r>
              <w:rPr>
                <w:rFonts w:hint="eastAsia" w:ascii="宋体" w:hAnsi="宋体" w:cs="宋体"/>
                <w:kern w:val="0"/>
                <w:sz w:val="24"/>
                <w:lang w:eastAsia="zh-CN"/>
              </w:rPr>
              <w:t>，</w:t>
            </w:r>
            <w:r>
              <w:rPr>
                <w:rFonts w:hint="eastAsia" w:ascii="宋体" w:hAnsi="宋体" w:cs="宋体"/>
                <w:sz w:val="24"/>
              </w:rPr>
              <w:t>光洁、抗菌、易清洗、可消毒、抗UV、抗氧化等特点。</w:t>
            </w:r>
            <w:r>
              <w:rPr>
                <w:rFonts w:hint="eastAsia" w:ascii="宋体" w:hAnsi="宋体" w:eastAsia="宋体" w:cs="宋体"/>
                <w:sz w:val="24"/>
              </w:rPr>
              <w:t>符合GB8410－2006《汽车内饰材料的燃烧特性》的要求</w:t>
            </w:r>
            <w:r>
              <w:rPr>
                <w:rFonts w:hint="eastAsia" w:ascii="宋体" w:hAnsi="宋体" w:eastAsia="宋体" w:cs="宋体"/>
                <w:sz w:val="24"/>
                <w:lang w:eastAsia="zh-CN"/>
              </w:rPr>
              <w:t>。</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val="en-US" w:eastAsia="zh-CN"/>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33</w:t>
            </w:r>
          </w:p>
        </w:tc>
        <w:tc>
          <w:tcPr>
            <w:tcW w:w="6665" w:type="dxa"/>
            <w:tcBorders>
              <w:top w:val="single" w:color="auto"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4"/>
              </w:rPr>
            </w:pPr>
            <w:r>
              <w:rPr>
                <w:rFonts w:hint="eastAsia" w:cs="宋体" w:asciiTheme="majorEastAsia" w:hAnsiTheme="majorEastAsia" w:eastAsiaTheme="majorEastAsia"/>
                <w:kern w:val="0"/>
                <w:sz w:val="24"/>
              </w:rPr>
              <w:t>医疗舱前部安装单人座椅，带舒适靠背，座椅下方为储物格，可放置急救箱。</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9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34</w:t>
            </w:r>
          </w:p>
        </w:tc>
        <w:tc>
          <w:tcPr>
            <w:tcW w:w="6665" w:type="dxa"/>
            <w:tcBorders>
              <w:top w:val="single" w:color="auto" w:sz="4" w:space="0"/>
              <w:left w:val="nil"/>
              <w:bottom w:val="nil"/>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医疗舱上方左安装一组吊</w:t>
            </w:r>
            <w:r>
              <w:rPr>
                <w:rFonts w:hint="eastAsia" w:asciiTheme="minorEastAsia" w:hAnsiTheme="minorEastAsia" w:eastAsiaTheme="minorEastAsia" w:cstheme="minorEastAsia"/>
                <w:sz w:val="24"/>
                <w:lang w:val="en-US" w:eastAsia="zh-CN"/>
              </w:rPr>
              <w:t>顶</w:t>
            </w:r>
            <w:r>
              <w:rPr>
                <w:rFonts w:hint="eastAsia" w:asciiTheme="minorEastAsia" w:hAnsiTheme="minorEastAsia" w:eastAsiaTheme="minorEastAsia" w:cstheme="minorEastAsia"/>
                <w:sz w:val="24"/>
              </w:rPr>
              <w:t>柜,</w:t>
            </w:r>
            <w:r>
              <w:rPr>
                <w:rFonts w:hint="eastAsia" w:asciiTheme="minorEastAsia" w:hAnsiTheme="minorEastAsia" w:eastAsiaTheme="minorEastAsia" w:cstheme="minorEastAsia"/>
                <w:sz w:val="24"/>
                <w:lang w:val="en-US" w:eastAsia="zh-CN"/>
              </w:rPr>
              <w:t>吊顶柜设有3个储物</w:t>
            </w:r>
            <w:r>
              <w:rPr>
                <w:rFonts w:hint="eastAsia" w:asciiTheme="minorEastAsia" w:hAnsiTheme="minorEastAsia" w:eastAsiaTheme="minorEastAsia" w:cstheme="minorEastAsia"/>
                <w:sz w:val="24"/>
              </w:rPr>
              <w:t>格，柜门</w:t>
            </w:r>
            <w:r>
              <w:rPr>
                <w:rFonts w:hint="eastAsia" w:asciiTheme="minorEastAsia" w:hAnsiTheme="minorEastAsia" w:eastAsiaTheme="minorEastAsia" w:cstheme="minorEastAsia"/>
                <w:sz w:val="24"/>
                <w:lang w:val="en-US" w:eastAsia="zh-CN"/>
              </w:rPr>
              <w:t>采用</w:t>
            </w:r>
            <w:r>
              <w:rPr>
                <w:rFonts w:hint="eastAsia" w:asciiTheme="minorEastAsia" w:hAnsiTheme="minorEastAsia" w:eastAsiaTheme="minorEastAsia" w:cstheme="minorEastAsia"/>
                <w:sz w:val="24"/>
              </w:rPr>
              <w:t>合页为任意停设计形式，操作便利安全。</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35</w:t>
            </w:r>
          </w:p>
        </w:tc>
        <w:tc>
          <w:tcPr>
            <w:tcW w:w="6665" w:type="dxa"/>
            <w:tcBorders>
              <w:top w:val="single" w:color="auto" w:sz="4" w:space="0"/>
              <w:left w:val="nil"/>
              <w:bottom w:val="nil"/>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kern w:val="0"/>
                <w:sz w:val="24"/>
              </w:rPr>
              <w:t>医疗舱左侧安装一组</w:t>
            </w:r>
            <w:r>
              <w:rPr>
                <w:rFonts w:hint="eastAsia" w:asciiTheme="minorEastAsia" w:hAnsiTheme="minorEastAsia" w:eastAsiaTheme="minorEastAsia" w:cstheme="minorEastAsia"/>
                <w:kern w:val="0"/>
                <w:sz w:val="24"/>
                <w:lang w:val="en-US" w:eastAsia="zh-CN"/>
              </w:rPr>
              <w:t>药械</w:t>
            </w:r>
            <w:r>
              <w:rPr>
                <w:rFonts w:hint="eastAsia" w:asciiTheme="minorEastAsia" w:hAnsiTheme="minorEastAsia" w:eastAsiaTheme="minorEastAsia" w:cstheme="minorEastAsia"/>
                <w:kern w:val="0"/>
                <w:sz w:val="24"/>
              </w:rPr>
              <w:t>组合柜，组合柜覆盖整个医疗舱左侧，靠中隔墙位置设有</w:t>
            </w:r>
            <w:r>
              <w:rPr>
                <w:rFonts w:hint="eastAsia" w:asciiTheme="minorEastAsia" w:hAnsiTheme="minorEastAsia" w:eastAsiaTheme="minorEastAsia" w:cstheme="minorEastAsia"/>
                <w:kern w:val="0"/>
                <w:sz w:val="24"/>
                <w:lang w:val="en-US" w:eastAsia="zh-CN"/>
              </w:rPr>
              <w:t>1</w:t>
            </w:r>
            <w:r>
              <w:rPr>
                <w:rFonts w:hint="eastAsia" w:asciiTheme="minorEastAsia" w:hAnsiTheme="minorEastAsia" w:eastAsiaTheme="minorEastAsia" w:cstheme="minorEastAsia"/>
                <w:kern w:val="0"/>
                <w:sz w:val="24"/>
              </w:rPr>
              <w:t>列共</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kern w:val="0"/>
                <w:sz w:val="24"/>
              </w:rPr>
              <w:t>个抽屉；往车尾方向设有</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kern w:val="0"/>
                <w:sz w:val="24"/>
              </w:rPr>
              <w:t>个</w:t>
            </w:r>
            <w:r>
              <w:rPr>
                <w:rFonts w:hint="eastAsia" w:asciiTheme="minorEastAsia" w:hAnsiTheme="minorEastAsia" w:eastAsiaTheme="minorEastAsia" w:cstheme="minorEastAsia"/>
                <w:kern w:val="0"/>
                <w:sz w:val="24"/>
                <w:lang w:val="en-US" w:eastAsia="zh-CN"/>
              </w:rPr>
              <w:t>大容量</w:t>
            </w:r>
            <w:r>
              <w:rPr>
                <w:rFonts w:hint="eastAsia" w:asciiTheme="minorEastAsia" w:hAnsiTheme="minorEastAsia" w:eastAsiaTheme="minorEastAsia" w:cstheme="minorEastAsia"/>
                <w:kern w:val="0"/>
                <w:sz w:val="24"/>
              </w:rPr>
              <w:t>储物</w:t>
            </w:r>
            <w:r>
              <w:rPr>
                <w:rFonts w:hint="eastAsia" w:asciiTheme="minorEastAsia" w:hAnsiTheme="minorEastAsia" w:eastAsiaTheme="minorEastAsia" w:cstheme="minorEastAsia"/>
                <w:kern w:val="0"/>
                <w:sz w:val="24"/>
                <w:lang w:val="en-US" w:eastAsia="zh-CN"/>
              </w:rPr>
              <w:t>柜</w:t>
            </w:r>
            <w:r>
              <w:rPr>
                <w:rFonts w:hint="eastAsia" w:asciiTheme="minorEastAsia" w:hAnsiTheme="minorEastAsia" w:eastAsiaTheme="minorEastAsia" w:cstheme="minorEastAsia"/>
                <w:kern w:val="0"/>
                <w:sz w:val="24"/>
              </w:rPr>
              <w:t>，储物格带插拔式柜门，组合柜</w:t>
            </w:r>
            <w:r>
              <w:rPr>
                <w:rFonts w:hint="eastAsia" w:asciiTheme="minorEastAsia" w:hAnsiTheme="minorEastAsia" w:eastAsiaTheme="minorEastAsia" w:cstheme="minorEastAsia"/>
                <w:kern w:val="0"/>
                <w:sz w:val="24"/>
                <w:lang w:val="en-US" w:eastAsia="zh-CN"/>
              </w:rPr>
              <w:t>设有大面积操作台，</w:t>
            </w:r>
            <w:r>
              <w:rPr>
                <w:rFonts w:hint="eastAsia" w:asciiTheme="minorEastAsia" w:hAnsiTheme="minorEastAsia" w:eastAsiaTheme="minorEastAsia" w:cstheme="minorEastAsia"/>
                <w:kern w:val="0"/>
                <w:sz w:val="24"/>
              </w:rPr>
              <w:t>台面可用于放置各种医疗设备。</w:t>
            </w:r>
            <w:r>
              <w:rPr>
                <w:rFonts w:hint="eastAsia" w:asciiTheme="minorEastAsia" w:hAnsiTheme="minorEastAsia" w:eastAsiaTheme="minorEastAsia" w:cstheme="minorEastAsia"/>
                <w:kern w:val="0"/>
                <w:sz w:val="24"/>
                <w:lang w:val="en-US" w:eastAsia="zh-CN"/>
              </w:rPr>
              <w:t>药械组合柜</w:t>
            </w:r>
            <w:r>
              <w:rPr>
                <w:rFonts w:hint="eastAsia" w:ascii="宋体" w:hAnsi="宋体" w:cs="宋体"/>
                <w:sz w:val="24"/>
              </w:rPr>
              <w:t>采用ABS材</w:t>
            </w:r>
            <w:r>
              <w:rPr>
                <w:rFonts w:hint="eastAsia" w:ascii="宋体" w:hAnsi="宋体" w:cs="宋体"/>
                <w:sz w:val="24"/>
                <w:lang w:val="en-US" w:eastAsia="zh-CN"/>
              </w:rPr>
              <w:t>料整体模具注塑成型，</w:t>
            </w:r>
            <w:r>
              <w:rPr>
                <w:rFonts w:hint="eastAsia" w:ascii="宋体" w:hAnsi="宋体" w:cs="宋体"/>
                <w:kern w:val="0"/>
                <w:sz w:val="24"/>
              </w:rPr>
              <w:t>具有</w:t>
            </w:r>
            <w:r>
              <w:rPr>
                <w:rFonts w:hint="eastAsia" w:ascii="宋体" w:hAnsi="宋体" w:cs="宋体"/>
                <w:kern w:val="0"/>
                <w:sz w:val="24"/>
                <w:lang w:val="en-US" w:eastAsia="zh-CN"/>
              </w:rPr>
              <w:t>整体性强，</w:t>
            </w:r>
            <w:r>
              <w:rPr>
                <w:rFonts w:hint="eastAsia" w:ascii="宋体" w:hAnsi="宋体" w:cs="宋体"/>
                <w:sz w:val="24"/>
              </w:rPr>
              <w:t>产品密度高</w:t>
            </w:r>
            <w:r>
              <w:rPr>
                <w:rFonts w:hint="eastAsia" w:ascii="宋体" w:hAnsi="宋体" w:cs="宋体"/>
                <w:sz w:val="24"/>
                <w:lang w:val="en-US" w:eastAsia="zh-CN"/>
              </w:rPr>
              <w:t>重量轻，</w:t>
            </w:r>
            <w:r>
              <w:rPr>
                <w:rFonts w:hint="eastAsia" w:ascii="宋体" w:hAnsi="宋体" w:cs="宋体"/>
                <w:sz w:val="24"/>
              </w:rPr>
              <w:t>整体抗冲击能力强</w:t>
            </w:r>
            <w:r>
              <w:rPr>
                <w:rFonts w:hint="eastAsia" w:ascii="宋体" w:hAnsi="宋体" w:cs="宋体"/>
                <w:kern w:val="0"/>
                <w:sz w:val="24"/>
                <w:lang w:eastAsia="zh-CN"/>
              </w:rPr>
              <w:t>，</w:t>
            </w:r>
            <w:r>
              <w:rPr>
                <w:rFonts w:hint="eastAsia" w:ascii="宋体" w:hAnsi="宋体" w:cs="宋体"/>
                <w:sz w:val="24"/>
              </w:rPr>
              <w:t>光洁、抗菌、易清洗、可消毒、抗UV、抗氧化等特点。</w:t>
            </w:r>
            <w:r>
              <w:rPr>
                <w:rFonts w:hint="eastAsia" w:ascii="宋体" w:hAnsi="宋体" w:eastAsia="宋体" w:cs="宋体"/>
                <w:sz w:val="24"/>
              </w:rPr>
              <w:t>符合GB8410－2006《汽车内饰材料的燃烧特性》的要求</w:t>
            </w:r>
            <w:r>
              <w:rPr>
                <w:rFonts w:hint="eastAsia" w:ascii="宋体" w:hAnsi="宋体" w:eastAsia="宋体" w:cs="宋体"/>
                <w:sz w:val="24"/>
                <w:lang w:eastAsia="zh-CN"/>
              </w:rPr>
              <w:t>。</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36</w:t>
            </w:r>
          </w:p>
        </w:tc>
        <w:tc>
          <w:tcPr>
            <w:tcW w:w="6665" w:type="dxa"/>
            <w:tcBorders>
              <w:top w:val="single" w:color="auto" w:sz="4" w:space="0"/>
              <w:left w:val="nil"/>
              <w:bottom w:val="nil"/>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kern w:val="0"/>
                <w:sz w:val="24"/>
              </w:rPr>
              <w:t>医疗舱右侧靠中门处安装单人朝前座椅，</w:t>
            </w:r>
            <w:r>
              <w:rPr>
                <w:rFonts w:hint="eastAsia" w:asciiTheme="minorEastAsia" w:hAnsiTheme="minorEastAsia" w:eastAsiaTheme="minorEastAsia" w:cstheme="minorEastAsia"/>
                <w:kern w:val="0"/>
                <w:sz w:val="24"/>
                <w:lang w:val="en-US" w:eastAsia="zh-CN"/>
              </w:rPr>
              <w:t>座</w:t>
            </w:r>
            <w:r>
              <w:rPr>
                <w:rFonts w:hint="eastAsia" w:asciiTheme="minorEastAsia" w:hAnsiTheme="minorEastAsia" w:eastAsiaTheme="minorEastAsia" w:cstheme="minorEastAsia"/>
                <w:kern w:val="0"/>
                <w:sz w:val="24"/>
              </w:rPr>
              <w:t>垫可</w:t>
            </w:r>
            <w:r>
              <w:rPr>
                <w:rFonts w:hint="eastAsia" w:asciiTheme="minorEastAsia" w:hAnsiTheme="minorEastAsia" w:eastAsiaTheme="minorEastAsia" w:cstheme="minorEastAsia"/>
                <w:kern w:val="0"/>
                <w:sz w:val="24"/>
                <w:lang w:val="en-US" w:eastAsia="zh-CN"/>
              </w:rPr>
              <w:t>翻折</w:t>
            </w:r>
            <w:r>
              <w:rPr>
                <w:rFonts w:hint="eastAsia" w:asciiTheme="minorEastAsia" w:hAnsiTheme="minorEastAsia" w:eastAsiaTheme="minorEastAsia" w:cstheme="minorEastAsia"/>
                <w:kern w:val="0"/>
                <w:sz w:val="24"/>
              </w:rPr>
              <w:t>，座椅靠背可调，配有扶手及3点式安全带。</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en-US" w:eastAsia="zh-CN"/>
              </w:rPr>
              <w:t>套</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37</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医疗舱右侧</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人长排</w:t>
            </w:r>
            <w:r>
              <w:rPr>
                <w:rFonts w:hint="eastAsia" w:asciiTheme="minorEastAsia" w:hAnsiTheme="minorEastAsia" w:eastAsiaTheme="minorEastAsia" w:cstheme="minorEastAsia"/>
                <w:sz w:val="24"/>
                <w:lang w:val="en-US" w:eastAsia="zh-CN"/>
              </w:rPr>
              <w:t>柜式</w:t>
            </w:r>
            <w:r>
              <w:rPr>
                <w:rFonts w:hint="eastAsia" w:asciiTheme="minorEastAsia" w:hAnsiTheme="minorEastAsia" w:eastAsiaTheme="minorEastAsia" w:cstheme="minorEastAsia"/>
                <w:sz w:val="24"/>
              </w:rPr>
              <w:t>座椅</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带舒适背、软座垫及配</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套3点式安全带</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座垫下方设有储物柜</w:t>
            </w:r>
            <w:r>
              <w:rPr>
                <w:rFonts w:hint="eastAsia" w:asciiTheme="minorEastAsia" w:hAnsiTheme="minorEastAsia" w:eastAsiaTheme="minorEastAsia" w:cstheme="minorEastAsia"/>
                <w:sz w:val="24"/>
              </w:rPr>
              <w:t>。</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en-US" w:eastAsia="zh-CN"/>
              </w:rPr>
              <w:t>套</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kern w:val="0"/>
                <w:sz w:val="24"/>
                <w:lang w:val="en-US" w:eastAsia="zh-CN"/>
              </w:rPr>
              <w:t>38</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医疗舱所座椅采用超纤革包裹，撕裂强度、拉伸强度高，耐折性好，耐寒性佳，耐霉变性，表面易清洗，组织结构和天然皮革相似等特点。符合GB8410－2006《汽车内饰材料的燃烧特性》的要求</w:t>
            </w:r>
            <w:r>
              <w:rPr>
                <w:rFonts w:hint="eastAsia" w:asciiTheme="minorEastAsia" w:hAnsiTheme="minorEastAsia" w:eastAsiaTheme="minorEastAsia" w:cstheme="minorEastAsia"/>
                <w:sz w:val="24"/>
                <w:lang w:eastAsia="zh-CN"/>
              </w:rPr>
              <w:t>。</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1套</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color w:val="000000"/>
                <w:kern w:val="0"/>
                <w:sz w:val="24"/>
              </w:rPr>
              <w:t>3</w:t>
            </w:r>
            <w:r>
              <w:rPr>
                <w:rFonts w:hint="eastAsia" w:asciiTheme="minorEastAsia" w:hAnsiTheme="minorEastAsia" w:eastAsiaTheme="minorEastAsia" w:cstheme="minorEastAsia"/>
                <w:color w:val="000000"/>
                <w:kern w:val="0"/>
                <w:sz w:val="24"/>
                <w:lang w:val="en-US" w:eastAsia="zh-CN"/>
              </w:rPr>
              <w:t>9</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kern w:val="0"/>
                <w:sz w:val="24"/>
              </w:rPr>
              <w:t>医疗舱左</w:t>
            </w:r>
            <w:r>
              <w:rPr>
                <w:rFonts w:hint="eastAsia" w:asciiTheme="minorEastAsia" w:hAnsiTheme="minorEastAsia" w:eastAsiaTheme="minorEastAsia" w:cstheme="minorEastAsia"/>
                <w:kern w:val="0"/>
                <w:sz w:val="24"/>
                <w:lang w:val="en-US" w:eastAsia="zh-CN"/>
              </w:rPr>
              <w:t>侧</w:t>
            </w:r>
            <w:r>
              <w:rPr>
                <w:rFonts w:hint="eastAsia" w:asciiTheme="minorEastAsia" w:hAnsiTheme="minorEastAsia" w:eastAsiaTheme="minorEastAsia" w:cstheme="minorEastAsia"/>
                <w:kern w:val="0"/>
                <w:sz w:val="24"/>
              </w:rPr>
              <w:t>车尾处安装氧气柜，</w:t>
            </w:r>
            <w:r>
              <w:rPr>
                <w:rFonts w:hint="eastAsia" w:asciiTheme="minorEastAsia" w:hAnsiTheme="minorEastAsia" w:eastAsiaTheme="minorEastAsia" w:cstheme="minorEastAsia"/>
                <w:kern w:val="0"/>
                <w:sz w:val="24"/>
                <w:lang w:val="en-US" w:eastAsia="zh-CN"/>
              </w:rPr>
              <w:t>并预埋金属管路，</w:t>
            </w:r>
            <w:r>
              <w:rPr>
                <w:rFonts w:hint="eastAsia" w:asciiTheme="minorEastAsia" w:hAnsiTheme="minorEastAsia" w:eastAsiaTheme="minorEastAsia" w:cstheme="minorEastAsia"/>
                <w:kern w:val="0"/>
                <w:sz w:val="24"/>
              </w:rPr>
              <w:t>采用插拔式柜门，柜门不完全密封，留有操作口方便观察氧气表压力及开关气阀。</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color w:val="000000"/>
                <w:kern w:val="0"/>
                <w:sz w:val="24"/>
                <w:lang w:val="en-US" w:eastAsia="zh-CN"/>
              </w:rPr>
              <w:t>40</w:t>
            </w:r>
          </w:p>
        </w:tc>
        <w:tc>
          <w:tcPr>
            <w:tcW w:w="6665" w:type="dxa"/>
            <w:tcBorders>
              <w:top w:val="single" w:color="auto" w:sz="4" w:space="0"/>
              <w:left w:val="single" w:color="auto" w:sz="4" w:space="0"/>
              <w:bottom w:val="single" w:color="auto" w:sz="4" w:space="0"/>
              <w:right w:val="single" w:color="auto" w:sz="4" w:space="0"/>
            </w:tcBorders>
            <w:vAlign w:val="center"/>
          </w:tcPr>
          <w:p>
            <w:pPr>
              <w:widowControl/>
              <w:ind w:left="352" w:leftChars="0" w:hanging="352" w:hangingChars="147"/>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kern w:val="0"/>
                <w:sz w:val="24"/>
              </w:rPr>
              <w:t>医疗舱所有柜门安装锁扣</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41</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10升氧气瓶(配减压阀）</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2个</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val="en-US" w:eastAsia="zh-CN"/>
                <w14:textFill>
                  <w14:solidFill>
                    <w14:schemeClr w14:val="tx1"/>
                  </w14:solidFill>
                </w14:textFill>
              </w:rPr>
              <w:t>42</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吸氧用终端(1个)连接湿化器(1个)，呼吸机用的终端(1个)连接呼吸机专用接头(1个)。</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color w:val="000000"/>
                <w:kern w:val="0"/>
                <w:sz w:val="24"/>
                <w:lang w:val="en-US" w:eastAsia="zh-CN"/>
              </w:rPr>
              <w:t>43</w:t>
            </w:r>
          </w:p>
        </w:tc>
        <w:tc>
          <w:tcPr>
            <w:tcW w:w="6665" w:type="dxa"/>
            <w:tcBorders>
              <w:top w:val="single" w:color="auto" w:sz="4" w:space="0"/>
              <w:left w:val="nil"/>
              <w:bottom w:val="single" w:color="auto" w:sz="4" w:space="0"/>
              <w:right w:val="single" w:color="000000" w:sz="4" w:space="0"/>
            </w:tcBorders>
            <w:vAlign w:val="center"/>
          </w:tcPr>
          <w:p>
            <w:pP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sz w:val="24"/>
              </w:rPr>
              <w:t>采用耐磨、耐酸、耐碱、阻燃、防滑、防霉、易清洗医疗专用塑胶地板。符合GB8410－2006《汽车内饰材料的燃烧特性》的要求</w:t>
            </w:r>
            <w:r>
              <w:rPr>
                <w:rFonts w:hint="eastAsia" w:asciiTheme="minorEastAsia" w:hAnsiTheme="minorEastAsia" w:eastAsiaTheme="minorEastAsia" w:cstheme="minorEastAsia"/>
                <w:sz w:val="24"/>
                <w:lang w:eastAsia="zh-CN"/>
              </w:rPr>
              <w:t>。</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sz w:val="24"/>
              </w:rPr>
              <w:t>1套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kern w:val="0"/>
                <w:sz w:val="24"/>
                <w:lang w:val="en-US" w:eastAsia="zh-CN"/>
              </w:rPr>
              <w:t>44</w:t>
            </w:r>
          </w:p>
        </w:tc>
        <w:tc>
          <w:tcPr>
            <w:tcW w:w="6665" w:type="dxa"/>
            <w:tcBorders>
              <w:top w:val="single" w:color="auto" w:sz="4" w:space="0"/>
              <w:left w:val="nil"/>
              <w:bottom w:val="single" w:color="auto" w:sz="4" w:space="0"/>
              <w:right w:val="single" w:color="000000" w:sz="4" w:space="0"/>
            </w:tcBorders>
            <w:vAlign w:val="center"/>
          </w:tcPr>
          <w:p>
            <w:pPr>
              <w:widowControl/>
              <w:jc w:val="lef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2KG灭火器</w:t>
            </w:r>
          </w:p>
        </w:tc>
        <w:tc>
          <w:tcPr>
            <w:tcW w:w="1110"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1个</w:t>
            </w:r>
          </w:p>
        </w:tc>
      </w:tr>
      <w:tr>
        <w:tblPrEx>
          <w:tblCellMar>
            <w:top w:w="0" w:type="dxa"/>
            <w:left w:w="108" w:type="dxa"/>
            <w:bottom w:w="0" w:type="dxa"/>
            <w:right w:w="108" w:type="dxa"/>
          </w:tblCellMar>
        </w:tblPrEx>
        <w:trPr>
          <w:trHeight w:val="360" w:hRule="atLeast"/>
          <w:jc w:val="center"/>
        </w:trPr>
        <w:tc>
          <w:tcPr>
            <w:tcW w:w="865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Cs/>
                <w:color w:val="000000"/>
                <w:kern w:val="0"/>
                <w:sz w:val="24"/>
              </w:rPr>
            </w:pPr>
            <w:r>
              <w:rPr>
                <w:rFonts w:hint="eastAsia" w:asciiTheme="minorEastAsia" w:hAnsiTheme="minorEastAsia" w:eastAsiaTheme="minorEastAsia" w:cstheme="minorEastAsia"/>
                <w:b/>
                <w:bCs w:val="0"/>
                <w:color w:val="000000"/>
                <w:kern w:val="0"/>
                <w:sz w:val="24"/>
              </w:rPr>
              <w:t>专用器械设备</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45</w:t>
            </w:r>
          </w:p>
        </w:tc>
        <w:tc>
          <w:tcPr>
            <w:tcW w:w="6665" w:type="dxa"/>
            <w:tcBorders>
              <w:top w:val="single" w:color="auto" w:sz="4" w:space="0"/>
              <w:left w:val="nil"/>
              <w:bottom w:val="single" w:color="auto" w:sz="4" w:space="0"/>
              <w:right w:val="single" w:color="000000" w:sz="4" w:space="0"/>
            </w:tcBorders>
            <w:vAlign w:val="center"/>
          </w:tcPr>
          <w:p>
            <w:pPr>
              <w:rPr>
                <w:rFonts w:hint="eastAsia" w:asciiTheme="minorEastAsia" w:hAnsiTheme="minorEastAsia" w:eastAsiaTheme="minorEastAsia" w:cstheme="minorEastAsia"/>
                <w:kern w:val="0"/>
                <w:sz w:val="24"/>
              </w:rPr>
            </w:pPr>
            <w:r>
              <w:rPr>
                <w:rFonts w:hint="eastAsia" w:ascii="宋体" w:hAnsi="宋体" w:cs="宋体"/>
                <w:kern w:val="0"/>
                <w:sz w:val="24"/>
              </w:rPr>
              <w:t>担架上车</w:t>
            </w:r>
            <w:r>
              <w:rPr>
                <w:rFonts w:hint="eastAsia" w:ascii="宋体" w:hAnsi="宋体" w:cs="宋体"/>
                <w:kern w:val="0"/>
                <w:sz w:val="24"/>
                <w:lang w:val="en-US" w:eastAsia="zh-CN"/>
              </w:rPr>
              <w:t>平台</w:t>
            </w:r>
            <w:bookmarkStart w:id="0" w:name="_GoBack"/>
            <w:bookmarkEnd w:id="0"/>
          </w:p>
        </w:tc>
        <w:tc>
          <w:tcPr>
            <w:tcW w:w="1110" w:type="dxa"/>
            <w:tcBorders>
              <w:top w:val="nil"/>
              <w:left w:val="nil"/>
              <w:bottom w:val="single" w:color="auto" w:sz="4" w:space="0"/>
              <w:right w:val="single" w:color="auto" w:sz="4" w:space="0"/>
            </w:tcBorders>
            <w:vAlign w:val="center"/>
          </w:tcPr>
          <w:p>
            <w:pPr>
              <w:widowControl/>
              <w:jc w:val="center"/>
              <w:rPr>
                <w:rFonts w:hint="eastAsia" w:eastAsia="宋体" w:asciiTheme="minorEastAsia" w:hAnsiTheme="minorEastAsia" w:cstheme="minorEastAsia"/>
                <w:kern w:val="0"/>
                <w:sz w:val="24"/>
                <w:lang w:eastAsia="zh-CN"/>
              </w:rPr>
            </w:pPr>
            <w:r>
              <w:rPr>
                <w:rFonts w:hint="eastAsia" w:ascii="宋体" w:hAnsi="宋体" w:cs="宋体"/>
                <w:sz w:val="24"/>
              </w:rPr>
              <w:t>1</w:t>
            </w:r>
            <w:r>
              <w:rPr>
                <w:rFonts w:hint="eastAsia" w:ascii="宋体" w:hAnsi="宋体" w:cs="宋体"/>
                <w:sz w:val="24"/>
                <w:lang w:val="en-US" w:eastAsia="zh-CN"/>
              </w:rPr>
              <w:t>套</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4</w:t>
            </w:r>
            <w:r>
              <w:rPr>
                <w:rFonts w:hint="eastAsia" w:asciiTheme="minorEastAsia" w:hAnsiTheme="minorEastAsia" w:eastAsiaTheme="minorEastAsia" w:cstheme="minorEastAsia"/>
                <w:kern w:val="0"/>
                <w:sz w:val="24"/>
                <w:lang w:val="en-US" w:eastAsia="zh-CN"/>
              </w:rPr>
              <w:t>6</w:t>
            </w:r>
          </w:p>
        </w:tc>
        <w:tc>
          <w:tcPr>
            <w:tcW w:w="6665" w:type="dxa"/>
            <w:tcBorders>
              <w:top w:val="single" w:color="auto" w:sz="4" w:space="0"/>
              <w:left w:val="nil"/>
              <w:bottom w:val="single" w:color="auto" w:sz="4" w:space="0"/>
              <w:right w:val="single" w:color="000000" w:sz="4" w:space="0"/>
            </w:tcBorders>
            <w:vAlign w:val="center"/>
          </w:tcPr>
          <w:p>
            <w:pPr>
              <w:jc w:val="left"/>
              <w:rPr>
                <w:rFonts w:hint="eastAsia" w:asciiTheme="minorEastAsia" w:hAnsiTheme="minorEastAsia" w:eastAsiaTheme="minorEastAsia" w:cstheme="minorEastAsia"/>
                <w:kern w:val="0"/>
                <w:sz w:val="24"/>
              </w:rPr>
            </w:pPr>
            <w:r>
              <w:rPr>
                <w:rFonts w:hint="eastAsia" w:ascii="宋体" w:hAnsi="宋体" w:cs="宋体"/>
                <w:sz w:val="24"/>
              </w:rPr>
              <w:t>自动上车担架</w:t>
            </w:r>
          </w:p>
        </w:tc>
        <w:tc>
          <w:tcPr>
            <w:tcW w:w="1110" w:type="dxa"/>
            <w:tcBorders>
              <w:top w:val="nil"/>
              <w:left w:val="nil"/>
              <w:bottom w:val="single" w:color="auto" w:sz="4" w:space="0"/>
              <w:right w:val="single" w:color="auto" w:sz="4" w:space="0"/>
            </w:tcBorders>
            <w:vAlign w:val="top"/>
          </w:tcPr>
          <w:p>
            <w:pPr>
              <w:jc w:val="center"/>
              <w:rPr>
                <w:rFonts w:hint="eastAsia" w:asciiTheme="minorEastAsia" w:hAnsiTheme="minorEastAsia" w:eastAsiaTheme="minorEastAsia" w:cstheme="minorEastAsia"/>
                <w:kern w:val="0"/>
                <w:sz w:val="24"/>
              </w:rPr>
            </w:pPr>
            <w:r>
              <w:rPr>
                <w:rFonts w:hint="eastAsia" w:ascii="宋体" w:hAnsi="宋体" w:cs="宋体"/>
                <w:sz w:val="24"/>
              </w:rPr>
              <w:t>1张</w:t>
            </w:r>
          </w:p>
        </w:tc>
      </w:tr>
      <w:tr>
        <w:tblPrEx>
          <w:tblCellMar>
            <w:top w:w="0" w:type="dxa"/>
            <w:left w:w="108" w:type="dxa"/>
            <w:bottom w:w="0" w:type="dxa"/>
            <w:right w:w="108" w:type="dxa"/>
          </w:tblCellMar>
        </w:tblPrEx>
        <w:trPr>
          <w:trHeight w:val="360" w:hRule="atLeast"/>
          <w:jc w:val="center"/>
        </w:trPr>
        <w:tc>
          <w:tcPr>
            <w:tcW w:w="877" w:type="dxa"/>
            <w:tcBorders>
              <w:top w:val="nil"/>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val="en-US" w:eastAsia="zh-CN"/>
                <w14:textFill>
                  <w14:solidFill>
                    <w14:schemeClr w14:val="tx1"/>
                  </w14:solidFill>
                </w14:textFill>
              </w:rPr>
              <w:t>47</w:t>
            </w:r>
          </w:p>
        </w:tc>
        <w:tc>
          <w:tcPr>
            <w:tcW w:w="6665" w:type="dxa"/>
            <w:tcBorders>
              <w:top w:val="single" w:color="auto" w:sz="4" w:space="0"/>
              <w:left w:val="nil"/>
              <w:bottom w:val="single" w:color="auto" w:sz="4" w:space="0"/>
              <w:right w:val="single" w:color="000000" w:sz="4" w:space="0"/>
            </w:tcBorders>
            <w:vAlign w:val="center"/>
          </w:tcPr>
          <w:p>
            <w:pPr>
              <w:jc w:val="left"/>
              <w:rPr>
                <w:rFonts w:hint="eastAsia" w:eastAsia="宋体" w:asciiTheme="minorEastAsia" w:hAnsiTheme="minorEastAsia" w:cstheme="minorEastAsia"/>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软担架</w:t>
            </w:r>
          </w:p>
        </w:tc>
        <w:tc>
          <w:tcPr>
            <w:tcW w:w="1110" w:type="dxa"/>
            <w:tcBorders>
              <w:top w:val="nil"/>
              <w:left w:val="nil"/>
              <w:bottom w:val="single" w:color="auto" w:sz="4" w:space="0"/>
              <w:right w:val="single" w:color="auto" w:sz="4" w:space="0"/>
            </w:tcBorders>
            <w:vAlign w:val="top"/>
          </w:tcPr>
          <w:p>
            <w:pPr>
              <w:jc w:val="center"/>
              <w:rPr>
                <w:rFonts w:hint="eastAsia" w:asciiTheme="minorEastAsia" w:hAnsiTheme="minorEastAsia" w:eastAsiaTheme="minorEastAsia" w:cstheme="minorEastAsia"/>
                <w:kern w:val="0"/>
                <w:sz w:val="24"/>
              </w:rPr>
            </w:pPr>
            <w:r>
              <w:rPr>
                <w:rFonts w:hint="eastAsia" w:ascii="宋体" w:hAnsi="宋体" w:cs="宋体"/>
                <w:sz w:val="24"/>
              </w:rPr>
              <w:t>1张</w:t>
            </w:r>
          </w:p>
        </w:tc>
      </w:tr>
      <w:tr>
        <w:tblPrEx>
          <w:tblCellMar>
            <w:top w:w="0" w:type="dxa"/>
            <w:left w:w="108" w:type="dxa"/>
            <w:bottom w:w="0" w:type="dxa"/>
            <w:right w:w="108" w:type="dxa"/>
          </w:tblCellMar>
        </w:tblPrEx>
        <w:trPr>
          <w:trHeight w:val="360" w:hRule="atLeast"/>
          <w:jc w:val="center"/>
        </w:trPr>
        <w:tc>
          <w:tcPr>
            <w:tcW w:w="8652"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sz w:val="24"/>
              </w:rPr>
            </w:pPr>
            <w:r>
              <w:rPr>
                <w:rFonts w:hint="eastAsia" w:ascii="宋体" w:hAnsi="宋体" w:cs="宋体"/>
                <w:b/>
                <w:bCs/>
                <w:sz w:val="24"/>
                <w:lang w:val="en-US" w:eastAsia="zh-CN"/>
              </w:rPr>
              <w:t>车载医疗设备（心肺复苏机1台）</w:t>
            </w: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宋体" w:hAnsi="宋体" w:eastAsia="宋体" w:cs="Times New Roman"/>
                <w:sz w:val="24"/>
                <w:szCs w:val="24"/>
                <w:lang w:val="en-US" w:eastAsia="zh-CN"/>
              </w:rPr>
              <w:t>符合最新AHA和ERC心肺复苏及心血管急救指南关于心肺复苏替代技术和辅助装置的相关规范。适用于对心跳呼吸骤停的成年患者进行胸外按压等</w:t>
            </w:r>
            <w:r>
              <w:rPr>
                <w:rFonts w:hint="eastAsia" w:ascii="宋体" w:hAnsi="宋体"/>
                <w:sz w:val="24"/>
                <w:szCs w:val="24"/>
              </w:rPr>
              <w:t>心肺复苏抢救</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宋体"/>
                <w:color w:val="auto"/>
                <w:sz w:val="24"/>
                <w:lang w:val="en-US" w:eastAsia="zh-CN"/>
              </w:rPr>
              <w:t>★</w:t>
            </w:r>
            <w:r>
              <w:rPr>
                <w:rFonts w:hint="eastAsia" w:ascii="宋体" w:hAnsi="宋体" w:cs="仿宋_GB2312"/>
                <w:color w:val="auto"/>
                <w:kern w:val="0"/>
                <w:sz w:val="24"/>
              </w:rPr>
              <w:t>2</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宋体" w:hAnsi="宋体"/>
                <w:sz w:val="24"/>
                <w:szCs w:val="24"/>
              </w:rPr>
              <w:t>按压技术：</w:t>
            </w:r>
            <w:r>
              <w:rPr>
                <w:rFonts w:hint="eastAsia" w:ascii="宋体" w:hAnsi="宋体"/>
                <w:sz w:val="24"/>
                <w:szCs w:val="24"/>
                <w:lang w:val="en-US" w:eastAsia="zh-CN"/>
              </w:rPr>
              <w:t>采用单点按压结合胸廓束带方式，通过</w:t>
            </w:r>
            <w:r>
              <w:rPr>
                <w:rFonts w:hint="eastAsia" w:ascii="宋体" w:hAnsi="宋体"/>
                <w:sz w:val="24"/>
                <w:szCs w:val="24"/>
              </w:rPr>
              <w:t>胸泵和心泵机制、模拟心脏搏动原理的智能心肺复苏技术，能比徒手CPR更</w:t>
            </w:r>
            <w:r>
              <w:rPr>
                <w:rFonts w:ascii="宋体" w:hAnsi="宋体"/>
                <w:sz w:val="24"/>
                <w:szCs w:val="24"/>
              </w:rPr>
              <w:t>高效率地改善血流动力学效应，减少复苏过程引起的损伤</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3</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ascii="宋体" w:hAnsi="宋体"/>
                <w:sz w:val="24"/>
                <w:szCs w:val="24"/>
              </w:rPr>
              <w:t>按</w:t>
            </w:r>
            <w:r>
              <w:rPr>
                <w:rFonts w:hint="eastAsia" w:ascii="宋体" w:hAnsi="宋体"/>
                <w:sz w:val="24"/>
                <w:szCs w:val="24"/>
              </w:rPr>
              <w:t>压频</w:t>
            </w:r>
            <w:r>
              <w:rPr>
                <w:rFonts w:ascii="宋体" w:hAnsi="宋体"/>
                <w:sz w:val="24"/>
                <w:szCs w:val="24"/>
              </w:rPr>
              <w:t>率</w:t>
            </w:r>
            <w:r>
              <w:rPr>
                <w:rFonts w:hint="eastAsia" w:ascii="宋体" w:hAnsi="宋体"/>
                <w:sz w:val="24"/>
                <w:szCs w:val="24"/>
                <w:lang w:val="en-US" w:eastAsia="zh-CN"/>
              </w:rPr>
              <w:t>110</w:t>
            </w:r>
            <w:r>
              <w:rPr>
                <w:rFonts w:ascii="宋体" w:hAnsi="宋体"/>
                <w:sz w:val="24"/>
                <w:szCs w:val="24"/>
              </w:rPr>
              <w:t>次／分</w:t>
            </w:r>
            <w:r>
              <w:rPr>
                <w:rFonts w:hint="eastAsia" w:ascii="宋体" w:hAnsi="宋体"/>
                <w:sz w:val="24"/>
                <w:szCs w:val="24"/>
              </w:rPr>
              <w:t>钟</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4</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宋体" w:hAnsi="宋体" w:eastAsia="宋体" w:cs="宋体"/>
                <w:sz w:val="24"/>
                <w:szCs w:val="24"/>
              </w:rPr>
              <w:t>按压深度在30-</w:t>
            </w:r>
            <w:r>
              <w:rPr>
                <w:rFonts w:hint="eastAsia" w:ascii="宋体" w:hAnsi="宋体" w:eastAsia="宋体" w:cs="宋体"/>
                <w:sz w:val="24"/>
                <w:szCs w:val="24"/>
                <w:lang w:val="en-US" w:eastAsia="zh-CN"/>
              </w:rPr>
              <w:t>60</w:t>
            </w:r>
            <w:r>
              <w:rPr>
                <w:rFonts w:hint="eastAsia" w:ascii="宋体" w:hAnsi="宋体" w:eastAsia="宋体" w:cs="宋体"/>
                <w:sz w:val="24"/>
                <w:szCs w:val="24"/>
              </w:rPr>
              <w:t>mm</w:t>
            </w:r>
            <w:r>
              <w:rPr>
                <w:rFonts w:hint="eastAsia" w:ascii="宋体" w:hAnsi="宋体" w:eastAsia="宋体" w:cs="宋体"/>
                <w:sz w:val="24"/>
                <w:szCs w:val="24"/>
                <w:lang w:eastAsia="zh-CN"/>
              </w:rPr>
              <w:t>范围内</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5</w:t>
            </w:r>
          </w:p>
        </w:tc>
        <w:tc>
          <w:tcPr>
            <w:tcW w:w="666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auto"/>
              <w:ind w:left="0" w:leftChars="0" w:firstLine="0" w:firstLineChars="0"/>
              <w:jc w:val="left"/>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宋体" w:hAnsi="宋体" w:eastAsia="宋体" w:cs="Times New Roman"/>
                <w:sz w:val="24"/>
                <w:szCs w:val="24"/>
              </w:rPr>
              <w:t>按压释放比</w:t>
            </w: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w:t>
            </w:r>
            <w:r>
              <w:rPr>
                <w:rFonts w:hint="eastAsia" w:ascii="宋体" w:hAnsi="宋体" w:eastAsia="宋体" w:cs="Times New Roman"/>
                <w:sz w:val="24"/>
                <w:szCs w:val="24"/>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6</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按压通气模式</w:t>
            </w:r>
            <w:r>
              <w:rPr>
                <w:rFonts w:hint="eastAsia" w:ascii="宋体" w:hAnsi="宋体" w:eastAsia="宋体" w:cs="宋体"/>
                <w:sz w:val="24"/>
                <w:szCs w:val="24"/>
                <w:lang w:val="en-US" w:eastAsia="zh-CN"/>
              </w:rPr>
              <w:t>包括</w:t>
            </w:r>
            <w:r>
              <w:rPr>
                <w:rFonts w:hint="eastAsia" w:ascii="宋体" w:hAnsi="宋体" w:eastAsia="宋体" w:cs="宋体"/>
                <w:sz w:val="24"/>
                <w:szCs w:val="24"/>
              </w:rPr>
              <w:t>：连续按压模式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30:2模式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CPR联动模式</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7</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30:2模式下，30次按压后，2次通气停顿时间≤</w:t>
            </w:r>
            <w:r>
              <w:rPr>
                <w:rFonts w:hint="eastAsia" w:ascii="宋体" w:hAnsi="宋体" w:eastAsia="宋体" w:cs="宋体"/>
                <w:sz w:val="24"/>
                <w:szCs w:val="24"/>
                <w:lang w:val="en-US" w:eastAsia="zh-CN"/>
              </w:rPr>
              <w:t>3秒</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8</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采用PC+ABS硬质背板与软绑带结合，避免纯绑带弹性形变引起按压深度不足，可保障按压深度，提高心肺复苏抢救质量</w:t>
            </w:r>
            <w:r>
              <w:rPr>
                <w:rFonts w:hint="eastAsia" w:ascii="宋体" w:hAnsi="宋体" w:eastAsia="宋体" w:cs="宋体"/>
                <w:sz w:val="24"/>
                <w:szCs w:val="24"/>
                <w:lang w:val="en-US" w:eastAsia="zh-CN"/>
              </w:rPr>
              <w:t>,</w:t>
            </w:r>
            <w:r>
              <w:rPr>
                <w:rFonts w:hint="eastAsia" w:ascii="宋体" w:hAnsi="宋体" w:eastAsia="宋体" w:cs="宋体"/>
                <w:color w:val="auto"/>
                <w:sz w:val="24"/>
                <w:szCs w:val="24"/>
              </w:rPr>
              <w:t>软硬结合绑带，更符合心肺复苏指南，除了地面、床面以外，在担架位复苏效果同样有保证</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宋体"/>
                <w:color w:val="auto"/>
                <w:sz w:val="24"/>
                <w:lang w:val="en-US" w:eastAsia="zh-CN"/>
              </w:rPr>
              <w:t>★</w:t>
            </w:r>
            <w:r>
              <w:rPr>
                <w:rFonts w:hint="eastAsia" w:ascii="宋体" w:hAnsi="宋体" w:cs="仿宋_GB2312"/>
                <w:color w:val="auto"/>
                <w:kern w:val="0"/>
                <w:sz w:val="24"/>
              </w:rPr>
              <w:t>9</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主机上具有按压深度窗口，可显示实际按压深度</w:t>
            </w:r>
            <w:r>
              <w:rPr>
                <w:rFonts w:hint="eastAsia" w:ascii="宋体" w:hAnsi="宋体" w:eastAsia="宋体" w:cs="宋体"/>
                <w:color w:val="auto"/>
                <w:sz w:val="24"/>
                <w:szCs w:val="24"/>
              </w:rPr>
              <w:t>客观直接的提示按压深度</w:t>
            </w:r>
            <w:r>
              <w:rPr>
                <w:rFonts w:hint="eastAsia" w:ascii="宋体" w:hAnsi="宋体" w:eastAsia="宋体" w:cs="宋体"/>
                <w:color w:val="auto"/>
                <w:sz w:val="24"/>
                <w:szCs w:val="24"/>
                <w:lang w:val="en-US" w:eastAsia="zh-CN"/>
              </w:rPr>
              <w:t xml:space="preserve"> </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宋体"/>
                <w:color w:val="auto"/>
                <w:sz w:val="24"/>
                <w:lang w:val="zh-CN"/>
              </w:rPr>
              <w:t>▲</w:t>
            </w:r>
            <w:r>
              <w:rPr>
                <w:rFonts w:hint="eastAsia" w:ascii="宋体" w:hAnsi="宋体" w:cs="仿宋_GB2312"/>
                <w:color w:val="auto"/>
                <w:kern w:val="0"/>
                <w:sz w:val="24"/>
              </w:rPr>
              <w:t>10</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最大工作倾斜度：≥60°，在主机工作倾斜度范围内工作状态下，实际按压频率与设定值误差≤±</w:t>
            </w:r>
            <w:r>
              <w:rPr>
                <w:rFonts w:hint="eastAsia" w:ascii="宋体" w:hAnsi="宋体" w:eastAsia="宋体" w:cs="宋体"/>
                <w:sz w:val="24"/>
                <w:szCs w:val="24"/>
                <w:lang w:val="en-US" w:eastAsia="zh-CN"/>
              </w:rPr>
              <w:t>1</w:t>
            </w:r>
            <w:r>
              <w:rPr>
                <w:rFonts w:hint="eastAsia" w:ascii="宋体" w:hAnsi="宋体" w:eastAsia="宋体" w:cs="宋体"/>
                <w:sz w:val="24"/>
                <w:szCs w:val="24"/>
              </w:rPr>
              <w:t>次/分钟。实际按压深度与设定值误差≤±0.</w:t>
            </w:r>
            <w:r>
              <w:rPr>
                <w:rFonts w:hint="eastAsia" w:ascii="宋体" w:hAnsi="宋体" w:eastAsia="宋体" w:cs="宋体"/>
                <w:sz w:val="24"/>
                <w:szCs w:val="24"/>
                <w:lang w:val="en-US" w:eastAsia="zh-CN"/>
              </w:rPr>
              <w:t>2</w:t>
            </w:r>
            <w:r>
              <w:rPr>
                <w:rFonts w:hint="eastAsia" w:ascii="宋体" w:hAnsi="宋体" w:eastAsia="宋体" w:cs="宋体"/>
                <w:sz w:val="24"/>
                <w:szCs w:val="24"/>
              </w:rPr>
              <w:t>厘米，确保下楼梯、转运途中能维持持续稳定的胸腔按压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提供证明材料并加盖公章</w:t>
            </w:r>
            <w:r>
              <w:rPr>
                <w:rFonts w:hint="eastAsia" w:ascii="宋体" w:hAnsi="宋体" w:eastAsia="宋体" w:cs="宋体"/>
                <w:sz w:val="24"/>
                <w:szCs w:val="24"/>
                <w:lang w:eastAsia="zh-CN"/>
              </w:rPr>
              <w:t>）</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11</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驱动方式：电动电控</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12</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电池运行时间：新电池充满电情况下，单块电池最大运行时间不少于60分钟</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13</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电池最大充电时间：≤2小时</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14</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外部交流电源：可接220V交流电，持续稳定实施长时间胸腔按压，并同时给予电池充电</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15</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napToGrid/>
              <w:spacing w:line="240" w:lineRule="auto"/>
              <w:ind w:left="567" w:leftChars="0" w:hanging="567" w:firstLineChars="0"/>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具有电量指示，低电量指示灯闪烁警示后，仍可连续工作时间≥15分钟</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16</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napToGrid/>
              <w:spacing w:line="240" w:lineRule="auto"/>
              <w:ind w:left="567" w:leftChars="0" w:hanging="567"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按压头手动归位：当主机发生错误，若按压头未归位，能够手动</w:t>
            </w:r>
          </w:p>
          <w:p>
            <w:pPr>
              <w:keepNext w:val="0"/>
              <w:keepLines w:val="0"/>
              <w:pageBreakBefore w:val="0"/>
              <w:numPr>
                <w:ilvl w:val="1"/>
                <w:numId w:val="0"/>
              </w:numPr>
              <w:kinsoku/>
              <w:wordWrap/>
              <w:overflowPunct/>
              <w:topLinePunct w:val="0"/>
              <w:autoSpaceDE/>
              <w:autoSpaceDN/>
              <w:bidi w:val="0"/>
              <w:adjustRightInd w:val="0"/>
              <w:snapToGrid/>
              <w:spacing w:line="240" w:lineRule="auto"/>
              <w:ind w:left="567" w:leftChars="0" w:hanging="567" w:firstLineChars="0"/>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将按压头推回初始位</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17</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具有USB接口,用于软件维护与升级</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18</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napToGrid/>
              <w:spacing w:line="240" w:lineRule="auto"/>
              <w:ind w:left="567" w:leftChars="0" w:hanging="567" w:firstLineChars="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具有≥16G内存</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19</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left"/>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心肺复苏机可与呼吸机联动，通过WIFI或蓝牙自动识别，心肺复苏机按压30次后，呼吸机自动通气2次，实现按压通气精准控制。</w:t>
            </w:r>
            <w:r>
              <w:rPr>
                <w:rFonts w:hint="eastAsia" w:ascii="宋体" w:hAnsi="宋体" w:eastAsia="宋体" w:cs="宋体"/>
                <w:color w:val="auto"/>
                <w:sz w:val="24"/>
                <w:szCs w:val="24"/>
              </w:rPr>
              <w:t>节省人力，提高抢救效率</w:t>
            </w:r>
            <w:r>
              <w:rPr>
                <w:rFonts w:hint="eastAsia" w:ascii="宋体" w:hAnsi="宋体" w:eastAsia="宋体" w:cs="宋体"/>
                <w:color w:val="auto"/>
                <w:sz w:val="24"/>
                <w:szCs w:val="24"/>
                <w:lang w:val="en-US" w:eastAsia="zh-CN"/>
              </w:rPr>
              <w:t xml:space="preserve"> </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20</w:t>
            </w:r>
          </w:p>
        </w:tc>
        <w:tc>
          <w:tcPr>
            <w:tcW w:w="66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0"/>
              </w:numPr>
              <w:kinsoku/>
              <w:wordWrap/>
              <w:overflowPunct/>
              <w:topLinePunct w:val="0"/>
              <w:autoSpaceDE/>
              <w:autoSpaceDN/>
              <w:bidi w:val="0"/>
              <w:adjustRightInd w:val="0"/>
              <w:snapToGrid/>
              <w:spacing w:line="240" w:lineRule="auto"/>
              <w:ind w:left="5" w:leftChars="0" w:hanging="5" w:firstLineChars="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通过航空适航RTCADO160G认证。</w:t>
            </w:r>
            <w:r>
              <w:rPr>
                <w:rFonts w:hint="eastAsia" w:ascii="宋体" w:hAnsi="宋体" w:eastAsia="宋体" w:cs="宋体"/>
                <w:color w:val="auto"/>
                <w:sz w:val="24"/>
                <w:szCs w:val="24"/>
              </w:rPr>
              <w:t>一旦有航空转运情况需要，支持空中救援</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21</w:t>
            </w:r>
          </w:p>
        </w:tc>
        <w:tc>
          <w:tcPr>
            <w:tcW w:w="6665"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rPr>
              <w:t>通过EN1789《医用车辆和其设备道路救护车标准》</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22</w:t>
            </w:r>
          </w:p>
        </w:tc>
        <w:tc>
          <w:tcPr>
            <w:tcW w:w="6665"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lang w:val="en-US" w:eastAsia="zh-CN"/>
              </w:rPr>
              <w:t>抗振性能：频率循环范围5Hz-35Hz-5Hz，振幅值0.35mm，振动循环15次后，实际按压频率与按压频率设定值误差≤±1次/分钟，实际按压深度与按压深度设定值误差≤±0.2厘米</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23</w:t>
            </w:r>
          </w:p>
        </w:tc>
        <w:tc>
          <w:tcPr>
            <w:tcW w:w="6665"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lang w:val="en-US" w:eastAsia="zh-CN"/>
              </w:rPr>
              <w:t>防撞性能：加速度50m/s2，脉冲持续时间11ms，碰撞1000次后，实际按压频率与按压频率设定值误差≤±1次/分钟，实际按压深度与按压深度设定值误差≤±0.2厘米</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24</w:t>
            </w:r>
          </w:p>
        </w:tc>
        <w:tc>
          <w:tcPr>
            <w:tcW w:w="666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ind w:left="0" w:leftChars="0" w:firstLine="0" w:firstLineChars="0"/>
              <w:jc w:val="left"/>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lang w:val="en-US" w:eastAsia="zh-CN"/>
              </w:rPr>
              <w:t>通过跌落试验：跌落高度1.5米，6个面各跌落1次</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szCs w:val="24"/>
                <w:lang w:val="en-US" w:eastAsia="zh-CN" w:bidi="ar-SA"/>
              </w:rPr>
              <w:t>25</w:t>
            </w:r>
          </w:p>
        </w:tc>
        <w:tc>
          <w:tcPr>
            <w:tcW w:w="666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ind w:left="0" w:leftChars="0" w:firstLine="0" w:firstLineChars="0"/>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 xml:space="preserve">防水防尘等级：IP44 </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r>
        <w:tblPrEx>
          <w:tblCellMar>
            <w:top w:w="0" w:type="dxa"/>
            <w:left w:w="108" w:type="dxa"/>
            <w:bottom w:w="0" w:type="dxa"/>
            <w:right w:w="108" w:type="dxa"/>
          </w:tblCellMar>
        </w:tblPrEx>
        <w:trPr>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40" w:firstLineChars="100"/>
              <w:jc w:val="center"/>
              <w:rPr>
                <w:rFonts w:hint="eastAsia" w:ascii="宋体" w:hAnsi="宋体" w:cs="仿宋_GB2312" w:eastAsiaTheme="minorEastAsia"/>
                <w:color w:val="auto"/>
                <w:kern w:val="0"/>
                <w:sz w:val="24"/>
                <w:szCs w:val="24"/>
                <w:lang w:val="en-US" w:eastAsia="zh-CN" w:bidi="ar-SA"/>
              </w:rPr>
            </w:pPr>
            <w:r>
              <w:rPr>
                <w:rFonts w:hint="eastAsia" w:ascii="宋体" w:hAnsi="宋体" w:cs="仿宋_GB2312"/>
                <w:color w:val="auto"/>
                <w:kern w:val="0"/>
                <w:sz w:val="24"/>
                <w:szCs w:val="24"/>
                <w:lang w:val="en-US" w:eastAsia="zh-CN" w:bidi="ar-SA"/>
              </w:rPr>
              <w:t>26</w:t>
            </w:r>
          </w:p>
        </w:tc>
        <w:tc>
          <w:tcPr>
            <w:tcW w:w="666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ind w:left="0" w:leftChars="0" w:firstLine="0" w:firstLineChars="0"/>
              <w:jc w:val="left"/>
              <w:rPr>
                <w:rFonts w:hint="eastAsia" w:ascii="宋体" w:hAnsi="宋体" w:cs="宋体" w:eastAsiaTheme="minorEastAsia"/>
                <w:color w:val="000000"/>
                <w:kern w:val="2"/>
                <w:sz w:val="24"/>
                <w:szCs w:val="24"/>
                <w:lang w:val="en-US" w:eastAsia="zh-CN" w:bidi="ar-SA"/>
              </w:rPr>
            </w:pPr>
            <w:r>
              <w:rPr>
                <w:rFonts w:hint="default" w:ascii="宋体" w:hAnsi="宋体" w:eastAsia="宋体" w:cs="Times New Roman"/>
                <w:kern w:val="0"/>
                <w:sz w:val="24"/>
                <w:szCs w:val="24"/>
                <w:lang w:val="en-US" w:eastAsia="zh-CN" w:bidi="ar-SA"/>
              </w:rPr>
              <w:t>动力电池：可充电锂电池，用户自主充放电不少于</w:t>
            </w:r>
            <w:r>
              <w:rPr>
                <w:rFonts w:hint="eastAsia" w:ascii="宋体" w:hAnsi="宋体" w:eastAsia="宋体" w:cs="Times New Roman"/>
                <w:kern w:val="0"/>
                <w:sz w:val="24"/>
                <w:szCs w:val="24"/>
                <w:lang w:val="en-US" w:eastAsia="zh-CN" w:bidi="ar-SA"/>
              </w:rPr>
              <w:t>500</w:t>
            </w:r>
            <w:r>
              <w:rPr>
                <w:rFonts w:hint="default" w:ascii="宋体" w:hAnsi="宋体" w:eastAsia="宋体" w:cs="Times New Roman"/>
                <w:kern w:val="0"/>
                <w:sz w:val="24"/>
                <w:szCs w:val="24"/>
                <w:lang w:val="en-US" w:eastAsia="zh-CN" w:bidi="ar-SA"/>
              </w:rPr>
              <w:t>次</w:t>
            </w:r>
          </w:p>
        </w:tc>
        <w:tc>
          <w:tcPr>
            <w:tcW w:w="1110"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s="宋体"/>
                <w:sz w:val="24"/>
              </w:rPr>
            </w:pPr>
          </w:p>
        </w:tc>
      </w:tr>
    </w:tbl>
    <w:p>
      <w:pPr>
        <w:ind w:left="420" w:leftChars="200" w:right="384" w:rightChars="183" w:firstLine="0" w:firstLineChars="0"/>
        <w:jc w:val="left"/>
        <w:rPr>
          <w:rFonts w:hint="eastAsia" w:ascii="宋体" w:hAnsi="宋体" w:eastAsia="宋体" w:cstheme="minorBidi"/>
          <w:sz w:val="24"/>
          <w:szCs w:val="24"/>
          <w:lang w:val="zh-CN"/>
        </w:rPr>
      </w:pPr>
      <w:r>
        <w:rPr>
          <w:rFonts w:hint="eastAsia" w:ascii="宋体" w:hAnsi="宋体" w:eastAsia="宋体" w:cstheme="minorBidi"/>
          <w:sz w:val="24"/>
          <w:szCs w:val="24"/>
          <w:lang w:val="zh-CN"/>
        </w:rPr>
        <w:t>备注：</w:t>
      </w:r>
      <w:r>
        <w:rPr>
          <w:rFonts w:hint="eastAsia" w:ascii="宋体" w:hAnsi="宋体" w:eastAsia="宋体" w:cstheme="minorBidi"/>
          <w:sz w:val="24"/>
          <w:szCs w:val="24"/>
          <w:lang w:val="en-US" w:eastAsia="zh-CN"/>
        </w:rPr>
        <w:t>1.</w:t>
      </w:r>
      <w:r>
        <w:rPr>
          <w:rFonts w:hint="eastAsia" w:ascii="宋体" w:hAnsi="宋体" w:eastAsia="宋体" w:cstheme="minorBidi"/>
          <w:sz w:val="24"/>
          <w:szCs w:val="24"/>
          <w:lang w:val="zh-CN"/>
        </w:rPr>
        <w:t>医疗舱内所有内饰板必须是无异味，可再生的环保材料，不得使用玻璃钢材料。</w:t>
      </w:r>
    </w:p>
    <w:p>
      <w:pPr>
        <w:numPr>
          <w:ilvl w:val="0"/>
          <w:numId w:val="1"/>
        </w:numPr>
        <w:ind w:left="420" w:leftChars="200" w:right="384" w:rightChars="183" w:firstLine="0" w:firstLineChars="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zh-CN"/>
        </w:rPr>
        <w:t>带“▲”的</w:t>
      </w:r>
      <w:r>
        <w:rPr>
          <w:rFonts w:hint="eastAsia" w:ascii="宋体" w:hAnsi="宋体" w:eastAsia="宋体" w:cstheme="minorBidi"/>
          <w:sz w:val="24"/>
          <w:szCs w:val="24"/>
          <w:lang w:val="en-US" w:eastAsia="zh-CN"/>
        </w:rPr>
        <w:t>参数</w:t>
      </w:r>
      <w:r>
        <w:rPr>
          <w:rFonts w:hint="eastAsia" w:ascii="宋体" w:hAnsi="宋体" w:eastAsia="宋体" w:cstheme="minorBidi"/>
          <w:sz w:val="24"/>
          <w:szCs w:val="24"/>
          <w:lang w:val="zh-CN"/>
        </w:rPr>
        <w:t>为实质性参数，投标商需完全符合，否则作为无效标处理。</w:t>
      </w:r>
      <w:r>
        <w:rPr>
          <w:rFonts w:hint="eastAsia" w:ascii="宋体" w:hAnsi="宋体" w:eastAsia="宋体" w:cstheme="minorBidi"/>
          <w:sz w:val="24"/>
          <w:szCs w:val="24"/>
          <w:lang w:val="en-US" w:eastAsia="zh-CN"/>
        </w:rPr>
        <w:t>带“★”</w:t>
      </w:r>
      <w:r>
        <w:rPr>
          <w:rFonts w:hint="eastAsia" w:ascii="宋体" w:hAnsi="宋体" w:eastAsia="宋体" w:cstheme="minorBidi"/>
          <w:sz w:val="24"/>
          <w:szCs w:val="24"/>
          <w:lang w:val="zh-CN"/>
        </w:rPr>
        <w:t>的参数</w:t>
      </w:r>
      <w:r>
        <w:rPr>
          <w:rFonts w:hint="eastAsia" w:ascii="宋体" w:hAnsi="宋体" w:eastAsia="宋体" w:cstheme="minorBidi"/>
          <w:sz w:val="24"/>
          <w:szCs w:val="24"/>
          <w:lang w:val="en-US" w:eastAsia="zh-CN"/>
        </w:rPr>
        <w:t>为重要参数。</w:t>
      </w: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pStyle w:val="2"/>
        <w:widowControl w:val="0"/>
        <w:numPr>
          <w:ilvl w:val="0"/>
          <w:numId w:val="0"/>
        </w:numPr>
        <w:jc w:val="both"/>
        <w:rPr>
          <w:rFonts w:hint="eastAsia"/>
        </w:rPr>
      </w:pPr>
    </w:p>
    <w:p>
      <w:pPr>
        <w:jc w:val="cente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外观图</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4780915" cy="3291840"/>
            <wp:effectExtent l="19050" t="0" r="363" b="0"/>
            <wp:docPr id="13" name="图片 2" descr="E:\老公工作资料\图片\样车图片\选装外观\选装外观2450\39cc513f6cc6c2976278651b894b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E:\老公工作资料\图片\样车图片\选装外观\选装外观2450\39cc513f6cc6c2976278651b894b217.jpg"/>
                    <pic:cNvPicPr>
                      <a:picLocks noChangeAspect="1" noChangeArrowheads="1"/>
                    </pic:cNvPicPr>
                  </pic:nvPicPr>
                  <pic:blipFill>
                    <a:blip r:embed="rId6" cstate="print"/>
                    <a:srcRect/>
                    <a:stretch>
                      <a:fillRect/>
                    </a:stretch>
                  </pic:blipFill>
                  <pic:spPr>
                    <a:xfrm>
                      <a:off x="0" y="0"/>
                      <a:ext cx="4785713" cy="3294956"/>
                    </a:xfrm>
                    <a:prstGeom prst="rect">
                      <a:avLst/>
                    </a:prstGeom>
                    <a:noFill/>
                    <a:ln w="9525">
                      <a:noFill/>
                      <a:miter lim="800000"/>
                      <a:headEnd/>
                      <a:tailEnd/>
                    </a:ln>
                  </pic:spPr>
                </pic:pic>
              </a:graphicData>
            </a:graphic>
          </wp:inline>
        </w:drawing>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4781550" cy="3843020"/>
            <wp:effectExtent l="19050" t="0" r="0" b="0"/>
            <wp:docPr id="14" name="图片 4" descr="C:\Users\ADMINI~1\AppData\Local\Temp\WeChat Files\7ad21506d22794e34c46d74342fb7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C:\Users\ADMINI~1\AppData\Local\Temp\WeChat Files\7ad21506d22794e34c46d74342fb7a8.jpg"/>
                    <pic:cNvPicPr>
                      <a:picLocks noChangeAspect="1" noChangeArrowheads="1"/>
                    </pic:cNvPicPr>
                  </pic:nvPicPr>
                  <pic:blipFill>
                    <a:blip r:embed="rId7" cstate="print"/>
                    <a:srcRect t="-1418"/>
                    <a:stretch>
                      <a:fillRect/>
                    </a:stretch>
                  </pic:blipFill>
                  <pic:spPr>
                    <a:xfrm>
                      <a:off x="0" y="0"/>
                      <a:ext cx="4786876" cy="3847331"/>
                    </a:xfrm>
                    <a:prstGeom prst="rect">
                      <a:avLst/>
                    </a:prstGeom>
                    <a:noFill/>
                    <a:ln w="9525">
                      <a:noFill/>
                      <a:miter lim="800000"/>
                      <a:headEnd/>
                      <a:tailEnd/>
                    </a:ln>
                  </pic:spPr>
                </pic:pic>
              </a:graphicData>
            </a:graphic>
          </wp:inline>
        </w:drawing>
      </w:r>
    </w:p>
    <w:p>
      <w:pPr>
        <w:ind w:left="-424" w:leftChars="-202" w:right="-1191" w:rightChars="-567"/>
        <w:jc w:val="center"/>
        <w:rPr>
          <w:rFonts w:hint="eastAsia" w:asciiTheme="minorEastAsia" w:hAnsiTheme="minorEastAsia" w:eastAsiaTheme="minorEastAsia" w:cstheme="minorEastAsia"/>
        </w:rPr>
      </w:pPr>
    </w:p>
    <w:p>
      <w:pPr>
        <w:widowControl/>
        <w:jc w:val="left"/>
        <w:rPr>
          <w:rFonts w:hint="eastAsia" w:asciiTheme="minorEastAsia" w:hAnsiTheme="minorEastAsia" w:eastAsiaTheme="minorEastAsia" w:cstheme="minorEastAsia"/>
          <w:b/>
          <w:bCs/>
          <w:sz w:val="36"/>
          <w:szCs w:val="32"/>
        </w:rPr>
      </w:pPr>
      <w:r>
        <w:rPr>
          <w:rFonts w:hint="eastAsia" w:asciiTheme="minorEastAsia" w:hAnsiTheme="minorEastAsia" w:eastAsiaTheme="minorEastAsia" w:cstheme="minorEastAsia"/>
          <w:b/>
          <w:bCs/>
          <w:sz w:val="36"/>
          <w:szCs w:val="32"/>
        </w:rPr>
        <w:br w:type="page"/>
      </w:r>
    </w:p>
    <w:p>
      <w:pPr>
        <w:jc w:val="center"/>
        <w:rPr>
          <w:rFonts w:hint="eastAsia" w:asciiTheme="minorEastAsia" w:hAnsiTheme="minorEastAsia" w:eastAsiaTheme="minorEastAsia" w:cstheme="minorEastAsia"/>
          <w:b/>
          <w:bCs/>
          <w:sz w:val="36"/>
          <w:szCs w:val="32"/>
        </w:rPr>
      </w:pPr>
      <w:r>
        <w:rPr>
          <w:rFonts w:hint="eastAsia" w:asciiTheme="minorEastAsia" w:hAnsiTheme="minorEastAsia" w:eastAsiaTheme="minorEastAsia" w:cstheme="minorEastAsia"/>
          <w:b/>
          <w:bCs/>
          <w:sz w:val="36"/>
          <w:szCs w:val="32"/>
        </w:rPr>
        <w:t>医疗舱布局图</w:t>
      </w:r>
    </w:p>
    <w:p>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drawing>
          <wp:inline distT="0" distB="0" distL="114300" distR="114300">
            <wp:extent cx="5912485" cy="3943985"/>
            <wp:effectExtent l="0" t="0" r="12065" b="18415"/>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8"/>
                    <a:stretch>
                      <a:fillRect/>
                    </a:stretch>
                  </pic:blipFill>
                  <pic:spPr>
                    <a:xfrm>
                      <a:off x="0" y="0"/>
                      <a:ext cx="5912485" cy="3943985"/>
                    </a:xfrm>
                    <a:prstGeom prst="rect">
                      <a:avLst/>
                    </a:prstGeom>
                  </pic:spPr>
                </pic:pic>
              </a:graphicData>
            </a:graphic>
          </wp:inline>
        </w:drawing>
      </w:r>
      <w:r>
        <w:rPr>
          <w:rFonts w:hint="eastAsia" w:asciiTheme="minorEastAsia" w:hAnsiTheme="minorEastAsia" w:eastAsiaTheme="minorEastAsia" w:cstheme="minorEastAsia"/>
          <w:lang w:eastAsia="zh-CN"/>
        </w:rPr>
        <w:drawing>
          <wp:inline distT="0" distB="0" distL="114300" distR="114300">
            <wp:extent cx="6155690" cy="4105910"/>
            <wp:effectExtent l="0" t="0" r="16510" b="8890"/>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9"/>
                    <a:stretch>
                      <a:fillRect/>
                    </a:stretch>
                  </pic:blipFill>
                  <pic:spPr>
                    <a:xfrm>
                      <a:off x="0" y="0"/>
                      <a:ext cx="6155690" cy="4105910"/>
                    </a:xfrm>
                    <a:prstGeom prst="rect">
                      <a:avLst/>
                    </a:prstGeom>
                  </pic:spPr>
                </pic:pic>
              </a:graphicData>
            </a:graphic>
          </wp:inline>
        </w:drawing>
      </w:r>
      <w:r>
        <w:rPr>
          <w:rFonts w:hint="eastAsia" w:asciiTheme="minorEastAsia" w:hAnsiTheme="minorEastAsia" w:eastAsiaTheme="minorEastAsia" w:cstheme="minorEastAsia"/>
          <w:lang w:eastAsia="zh-CN"/>
        </w:rPr>
        <w:drawing>
          <wp:inline distT="0" distB="0" distL="114300" distR="114300">
            <wp:extent cx="5911850" cy="3942715"/>
            <wp:effectExtent l="0" t="0" r="12700" b="635"/>
            <wp:docPr id="6" name="图片 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3"/>
                    <pic:cNvPicPr>
                      <a:picLocks noChangeAspect="1"/>
                    </pic:cNvPicPr>
                  </pic:nvPicPr>
                  <pic:blipFill>
                    <a:blip r:embed="rId10"/>
                    <a:stretch>
                      <a:fillRect/>
                    </a:stretch>
                  </pic:blipFill>
                  <pic:spPr>
                    <a:xfrm>
                      <a:off x="0" y="0"/>
                      <a:ext cx="5911850" cy="3942715"/>
                    </a:xfrm>
                    <a:prstGeom prst="rect">
                      <a:avLst/>
                    </a:prstGeom>
                  </pic:spPr>
                </pic:pic>
              </a:graphicData>
            </a:graphic>
          </wp:inline>
        </w:drawing>
      </w:r>
      <w:r>
        <w:rPr>
          <w:rFonts w:hint="eastAsia" w:asciiTheme="minorEastAsia" w:hAnsiTheme="minorEastAsia" w:eastAsiaTheme="minorEastAsia" w:cstheme="minorEastAsia"/>
          <w:lang w:eastAsia="zh-CN"/>
        </w:rPr>
        <w:drawing>
          <wp:inline distT="0" distB="0" distL="114300" distR="114300">
            <wp:extent cx="6111875" cy="4076700"/>
            <wp:effectExtent l="0" t="0" r="3175" b="0"/>
            <wp:docPr id="10" name="图片 10"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4"/>
                    <pic:cNvPicPr>
                      <a:picLocks noChangeAspect="1"/>
                    </pic:cNvPicPr>
                  </pic:nvPicPr>
                  <pic:blipFill>
                    <a:blip r:embed="rId11"/>
                    <a:stretch>
                      <a:fillRect/>
                    </a:stretch>
                  </pic:blipFill>
                  <pic:spPr>
                    <a:xfrm>
                      <a:off x="0" y="0"/>
                      <a:ext cx="6111875" cy="4076700"/>
                    </a:xfrm>
                    <a:prstGeom prst="rect">
                      <a:avLst/>
                    </a:prstGeom>
                  </pic:spPr>
                </pic:pic>
              </a:graphicData>
            </a:graphic>
          </wp:inline>
        </w:drawing>
      </w:r>
    </w:p>
    <w:sectPr>
      <w:headerReference r:id="rId3" w:type="default"/>
      <w:footerReference r:id="rId4" w:type="default"/>
      <w:pgSz w:w="11906" w:h="16838"/>
      <w:pgMar w:top="720" w:right="720" w:bottom="720" w:left="720" w:header="1417"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288" w:lineRule="auto"/>
      <w:ind w:right="357"/>
      <w:jc w:val="both"/>
      <w:rPr>
        <w:rFonts w:ascii="宋体" w:hAnsi="宋体"/>
        <w:color w:val="000080"/>
        <w:sz w:val="21"/>
        <w:szCs w:val="21"/>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288C2F"/>
    <w:multiLevelType w:val="singleLevel"/>
    <w:tmpl w:val="42288C2F"/>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5OTQ3MGM1MTFkM2M5NzE3NmYyMDhmYWQ4NjRkOTMifQ=="/>
  </w:docVars>
  <w:rsids>
    <w:rsidRoot w:val="008550A2"/>
    <w:rsid w:val="00025967"/>
    <w:rsid w:val="00033855"/>
    <w:rsid w:val="00082C55"/>
    <w:rsid w:val="000A6B2E"/>
    <w:rsid w:val="000B1B30"/>
    <w:rsid w:val="000B349B"/>
    <w:rsid w:val="00115A88"/>
    <w:rsid w:val="001168D0"/>
    <w:rsid w:val="00120EDC"/>
    <w:rsid w:val="001265BE"/>
    <w:rsid w:val="00133E9F"/>
    <w:rsid w:val="00146660"/>
    <w:rsid w:val="00160502"/>
    <w:rsid w:val="0016105E"/>
    <w:rsid w:val="0018574B"/>
    <w:rsid w:val="00185FA9"/>
    <w:rsid w:val="001B0AAD"/>
    <w:rsid w:val="001C35BD"/>
    <w:rsid w:val="001C5969"/>
    <w:rsid w:val="001E63F1"/>
    <w:rsid w:val="001F3F59"/>
    <w:rsid w:val="00200A8B"/>
    <w:rsid w:val="00244BFF"/>
    <w:rsid w:val="0026445B"/>
    <w:rsid w:val="00296DA1"/>
    <w:rsid w:val="002B43B2"/>
    <w:rsid w:val="002F5E43"/>
    <w:rsid w:val="0030666E"/>
    <w:rsid w:val="00366B45"/>
    <w:rsid w:val="003A13AD"/>
    <w:rsid w:val="003A55E3"/>
    <w:rsid w:val="003C27A5"/>
    <w:rsid w:val="003D1155"/>
    <w:rsid w:val="003D6A43"/>
    <w:rsid w:val="00421045"/>
    <w:rsid w:val="0044670C"/>
    <w:rsid w:val="0046233B"/>
    <w:rsid w:val="004A519B"/>
    <w:rsid w:val="004C3F05"/>
    <w:rsid w:val="004D5288"/>
    <w:rsid w:val="004E1FD4"/>
    <w:rsid w:val="00502FEF"/>
    <w:rsid w:val="00506FC5"/>
    <w:rsid w:val="00533DEF"/>
    <w:rsid w:val="00536262"/>
    <w:rsid w:val="005C5367"/>
    <w:rsid w:val="005E4A1A"/>
    <w:rsid w:val="005F74C4"/>
    <w:rsid w:val="00606121"/>
    <w:rsid w:val="00624AD3"/>
    <w:rsid w:val="0062724F"/>
    <w:rsid w:val="00654290"/>
    <w:rsid w:val="00674E2E"/>
    <w:rsid w:val="00676F57"/>
    <w:rsid w:val="00680EF9"/>
    <w:rsid w:val="006A2E50"/>
    <w:rsid w:val="006A3992"/>
    <w:rsid w:val="006D23AB"/>
    <w:rsid w:val="006F1222"/>
    <w:rsid w:val="0070518E"/>
    <w:rsid w:val="00731CF5"/>
    <w:rsid w:val="00745602"/>
    <w:rsid w:val="0077598A"/>
    <w:rsid w:val="007912A2"/>
    <w:rsid w:val="007B19B8"/>
    <w:rsid w:val="00822D18"/>
    <w:rsid w:val="00841669"/>
    <w:rsid w:val="00854D65"/>
    <w:rsid w:val="008550A2"/>
    <w:rsid w:val="00875BFD"/>
    <w:rsid w:val="00882EF0"/>
    <w:rsid w:val="008875DB"/>
    <w:rsid w:val="0089251A"/>
    <w:rsid w:val="008F3C30"/>
    <w:rsid w:val="00901924"/>
    <w:rsid w:val="00927727"/>
    <w:rsid w:val="009338E2"/>
    <w:rsid w:val="00951757"/>
    <w:rsid w:val="00963DFE"/>
    <w:rsid w:val="00992ADE"/>
    <w:rsid w:val="0099538F"/>
    <w:rsid w:val="00995C68"/>
    <w:rsid w:val="009B7349"/>
    <w:rsid w:val="009C09E0"/>
    <w:rsid w:val="009D5010"/>
    <w:rsid w:val="009F3CEE"/>
    <w:rsid w:val="00A62B3A"/>
    <w:rsid w:val="00A72EB0"/>
    <w:rsid w:val="00A75240"/>
    <w:rsid w:val="00A824C6"/>
    <w:rsid w:val="00AB0F3A"/>
    <w:rsid w:val="00AB38FF"/>
    <w:rsid w:val="00AC3FE5"/>
    <w:rsid w:val="00AE59A1"/>
    <w:rsid w:val="00B01EA7"/>
    <w:rsid w:val="00B2243C"/>
    <w:rsid w:val="00B82C91"/>
    <w:rsid w:val="00C1783E"/>
    <w:rsid w:val="00C4390E"/>
    <w:rsid w:val="00C473B5"/>
    <w:rsid w:val="00C47F5D"/>
    <w:rsid w:val="00C66FC7"/>
    <w:rsid w:val="00C90D52"/>
    <w:rsid w:val="00CB2510"/>
    <w:rsid w:val="00CB6F03"/>
    <w:rsid w:val="00CF6D6B"/>
    <w:rsid w:val="00D14609"/>
    <w:rsid w:val="00D15CF0"/>
    <w:rsid w:val="00D17B76"/>
    <w:rsid w:val="00D357DC"/>
    <w:rsid w:val="00D611B3"/>
    <w:rsid w:val="00D72B64"/>
    <w:rsid w:val="00D741B2"/>
    <w:rsid w:val="00DA5E05"/>
    <w:rsid w:val="00DB204C"/>
    <w:rsid w:val="00DC01D3"/>
    <w:rsid w:val="00DE24DD"/>
    <w:rsid w:val="00E07FA4"/>
    <w:rsid w:val="00E15A79"/>
    <w:rsid w:val="00E57AE8"/>
    <w:rsid w:val="00E75ADA"/>
    <w:rsid w:val="00E96115"/>
    <w:rsid w:val="00E974B2"/>
    <w:rsid w:val="00EB2ABB"/>
    <w:rsid w:val="00EC1185"/>
    <w:rsid w:val="00EC5CC8"/>
    <w:rsid w:val="00ED79A3"/>
    <w:rsid w:val="00EF20B3"/>
    <w:rsid w:val="00EF3E62"/>
    <w:rsid w:val="00F04B44"/>
    <w:rsid w:val="00F11674"/>
    <w:rsid w:val="00F323A2"/>
    <w:rsid w:val="00F3508D"/>
    <w:rsid w:val="00F40029"/>
    <w:rsid w:val="00F55AFF"/>
    <w:rsid w:val="00F71A6A"/>
    <w:rsid w:val="00F72060"/>
    <w:rsid w:val="00F72854"/>
    <w:rsid w:val="00FA448C"/>
    <w:rsid w:val="00FA70B8"/>
    <w:rsid w:val="00FC3DFD"/>
    <w:rsid w:val="00FE5239"/>
    <w:rsid w:val="014B433A"/>
    <w:rsid w:val="01583253"/>
    <w:rsid w:val="02AF4E43"/>
    <w:rsid w:val="03DC269F"/>
    <w:rsid w:val="085E4BF7"/>
    <w:rsid w:val="08E2325F"/>
    <w:rsid w:val="0AC34447"/>
    <w:rsid w:val="0C316170"/>
    <w:rsid w:val="0C7533EA"/>
    <w:rsid w:val="0DDE63CD"/>
    <w:rsid w:val="0EAF59AC"/>
    <w:rsid w:val="0F1D1DC5"/>
    <w:rsid w:val="10444F55"/>
    <w:rsid w:val="11331865"/>
    <w:rsid w:val="115362C0"/>
    <w:rsid w:val="11E2300A"/>
    <w:rsid w:val="1684670D"/>
    <w:rsid w:val="16CE0235"/>
    <w:rsid w:val="18655EC0"/>
    <w:rsid w:val="1D095C25"/>
    <w:rsid w:val="1DD70EE8"/>
    <w:rsid w:val="201B4CE7"/>
    <w:rsid w:val="206E37B8"/>
    <w:rsid w:val="21E40343"/>
    <w:rsid w:val="221D186E"/>
    <w:rsid w:val="23F07AC6"/>
    <w:rsid w:val="23F70746"/>
    <w:rsid w:val="26900014"/>
    <w:rsid w:val="278B2862"/>
    <w:rsid w:val="319C46DB"/>
    <w:rsid w:val="3200531C"/>
    <w:rsid w:val="34930017"/>
    <w:rsid w:val="37254D0C"/>
    <w:rsid w:val="3A883F87"/>
    <w:rsid w:val="3BA27E36"/>
    <w:rsid w:val="425336CF"/>
    <w:rsid w:val="4380539D"/>
    <w:rsid w:val="448737A6"/>
    <w:rsid w:val="46352502"/>
    <w:rsid w:val="471A1B26"/>
    <w:rsid w:val="483E5517"/>
    <w:rsid w:val="493A096B"/>
    <w:rsid w:val="494E311E"/>
    <w:rsid w:val="4CBD1C7E"/>
    <w:rsid w:val="4D4B7289"/>
    <w:rsid w:val="4E9C5655"/>
    <w:rsid w:val="4FAD70E5"/>
    <w:rsid w:val="50EC3EAC"/>
    <w:rsid w:val="53925CC3"/>
    <w:rsid w:val="59395F86"/>
    <w:rsid w:val="5A494F9B"/>
    <w:rsid w:val="5B3C260D"/>
    <w:rsid w:val="5BB24978"/>
    <w:rsid w:val="5D53456D"/>
    <w:rsid w:val="5DAD6E8D"/>
    <w:rsid w:val="5DF27010"/>
    <w:rsid w:val="61C04B42"/>
    <w:rsid w:val="61C95035"/>
    <w:rsid w:val="6452251B"/>
    <w:rsid w:val="649D4417"/>
    <w:rsid w:val="650744A8"/>
    <w:rsid w:val="655D7AE0"/>
    <w:rsid w:val="6BE1740A"/>
    <w:rsid w:val="6FBD07B5"/>
    <w:rsid w:val="71DF64C2"/>
    <w:rsid w:val="74F62DA4"/>
    <w:rsid w:val="76185BF4"/>
    <w:rsid w:val="771A09CE"/>
    <w:rsid w:val="792B3C99"/>
    <w:rsid w:val="7ABD2CC5"/>
    <w:rsid w:val="7D056FEA"/>
    <w:rsid w:val="7E9E76E9"/>
    <w:rsid w:val="7FF643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3">
    <w:name w:val="Body Text"/>
    <w:basedOn w:val="1"/>
    <w:next w:val="4"/>
    <w:qFormat/>
    <w:uiPriority w:val="99"/>
    <w:pPr>
      <w:spacing w:line="360" w:lineRule="exact"/>
    </w:pPr>
    <w:rPr>
      <w:rFonts w:ascii="Calibri" w:hAnsi="Calibri"/>
      <w:sz w:val="24"/>
    </w:rPr>
  </w:style>
  <w:style w:type="paragraph" w:styleId="4">
    <w:name w:val="Body Text First Indent"/>
    <w:basedOn w:val="3"/>
    <w:qFormat/>
    <w:uiPriority w:val="0"/>
    <w:pPr>
      <w:spacing w:after="120"/>
      <w:ind w:firstLine="420" w:firstLineChars="100"/>
    </w:pPr>
  </w:style>
  <w:style w:type="paragraph" w:styleId="5">
    <w:name w:val="Balloon Text"/>
    <w:basedOn w:val="1"/>
    <w:link w:val="15"/>
    <w:semiHidden/>
    <w:unhideWhenUsed/>
    <w:qFormat/>
    <w:uiPriority w:val="99"/>
    <w:rPr>
      <w:sz w:val="18"/>
      <w:szCs w:val="18"/>
    </w:rPr>
  </w:style>
  <w:style w:type="paragraph" w:styleId="6">
    <w:name w:val="footer"/>
    <w:basedOn w:val="1"/>
    <w:link w:val="13"/>
    <w:unhideWhenUsed/>
    <w:qFormat/>
    <w:uiPriority w:val="0"/>
    <w:pPr>
      <w:tabs>
        <w:tab w:val="center" w:pos="4153"/>
        <w:tab w:val="right" w:pos="8306"/>
      </w:tabs>
      <w:snapToGrid w:val="0"/>
      <w:jc w:val="left"/>
    </w:pPr>
    <w:rPr>
      <w:sz w:val="18"/>
      <w:szCs w:val="18"/>
    </w:rPr>
  </w:style>
  <w:style w:type="paragraph" w:styleId="7">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character" w:styleId="10">
    <w:name w:val="Strong"/>
    <w:qFormat/>
    <w:uiPriority w:val="0"/>
    <w:rPr>
      <w:b/>
      <w:bCs/>
    </w:rPr>
  </w:style>
  <w:style w:type="character" w:styleId="11">
    <w:name w:val="Hyperlink"/>
    <w:basedOn w:val="9"/>
    <w:unhideWhenUsed/>
    <w:qFormat/>
    <w:uiPriority w:val="99"/>
    <w:rPr>
      <w:color w:val="0000FF"/>
      <w:u w:val="single"/>
    </w:rPr>
  </w:style>
  <w:style w:type="character" w:customStyle="1" w:styleId="12">
    <w:name w:val="页眉 Char"/>
    <w:basedOn w:val="9"/>
    <w:link w:val="7"/>
    <w:qFormat/>
    <w:uiPriority w:val="0"/>
    <w:rPr>
      <w:sz w:val="18"/>
      <w:szCs w:val="18"/>
    </w:rPr>
  </w:style>
  <w:style w:type="character" w:customStyle="1" w:styleId="13">
    <w:name w:val="页脚 Char"/>
    <w:basedOn w:val="9"/>
    <w:link w:val="6"/>
    <w:qFormat/>
    <w:uiPriority w:val="0"/>
    <w:rPr>
      <w:sz w:val="18"/>
      <w:szCs w:val="18"/>
    </w:rPr>
  </w:style>
  <w:style w:type="character" w:customStyle="1" w:styleId="14">
    <w:name w:val="trans"/>
    <w:qFormat/>
    <w:uiPriority w:val="0"/>
  </w:style>
  <w:style w:type="character" w:customStyle="1" w:styleId="15">
    <w:name w:val="批注框文本 Char"/>
    <w:basedOn w:val="9"/>
    <w:link w:val="5"/>
    <w:semiHidden/>
    <w:qFormat/>
    <w:uiPriority w:val="99"/>
    <w:rPr>
      <w:rFonts w:ascii="Times New Roman" w:hAnsi="Times New Roman" w:eastAsia="宋体" w:cs="Times New Roman"/>
      <w:sz w:val="18"/>
      <w:szCs w:val="18"/>
    </w:rPr>
  </w:style>
  <w:style w:type="character" w:customStyle="1" w:styleId="16">
    <w:name w:val="control-display"/>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4311</Words>
  <Characters>4922</Characters>
  <Lines>17</Lines>
  <Paragraphs>4</Paragraphs>
  <TotalTime>13</TotalTime>
  <ScaleCrop>false</ScaleCrop>
  <LinksUpToDate>false</LinksUpToDate>
  <CharactersWithSpaces>4947</CharactersWithSpaces>
  <Application>WPS Office_11.1.0.14178_F1E327BC-269C-435d-A152-05C5408002CA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2016-12-28T02:08:00Z</dcterms:created>
  <dc:creator>PC</dc:creator>
  <cp:lastModifiedBy>悬崖边的树</cp:lastModifiedBy>
  <dcterms:modified xsi:type="dcterms:W3CDTF">2025-09-22T01:24:52Z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2052-11.1.0.14178</vt:lpwstr>
  </property>
  <property fmtid="{D5CDD505-2E9C-101B-9397-08002B2CF9AE}" pid="3" name="ICV">
    <vt:lpwstr>045554318AA845DEB3A209B3E2C1B243_13</vt:lpwstr>
  </property>
  <property fmtid="{D5CDD505-2E9C-101B-9397-08002B2CF9AE}" pid="4" name="KSOTemplateDocerSaveRecord">
    <vt:lpwstr>eyJoZGlkIjoiYTRhOTkyNDcyNjViZGRlNmY1ZTU0ZjEzMjk0YTg5ZWUiLCJ1c2VySWQiOiIyOTMwMjAxMTkifQ==</vt:lpwstr>
  </property>
</Properties>
</file>