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8A6" w:rsidRPr="008800D8" w:rsidRDefault="008800D8">
      <w:pPr>
        <w:rPr>
          <w:rFonts w:asciiTheme="minorEastAsia" w:hAnsiTheme="minorEastAsia"/>
          <w:b/>
          <w:sz w:val="28"/>
        </w:rPr>
      </w:pPr>
      <w:r w:rsidRPr="008800D8">
        <w:rPr>
          <w:rFonts w:asciiTheme="minorEastAsia" w:hAnsiTheme="minorEastAsia" w:hint="eastAsia"/>
          <w:b/>
          <w:sz w:val="28"/>
        </w:rPr>
        <w:t>一、</w:t>
      </w:r>
      <w:r w:rsidR="001548A6" w:rsidRPr="008800D8">
        <w:rPr>
          <w:rFonts w:asciiTheme="minorEastAsia" w:hAnsiTheme="minorEastAsia" w:hint="eastAsia"/>
          <w:b/>
          <w:sz w:val="28"/>
        </w:rPr>
        <w:t>技术参数要求</w:t>
      </w:r>
    </w:p>
    <w:p w:rsidR="000E40F7" w:rsidRPr="008800D8" w:rsidRDefault="007327B6">
      <w:pPr>
        <w:pStyle w:val="1"/>
        <w:rPr>
          <w:rFonts w:asciiTheme="minorEastAsia" w:eastAsiaTheme="minorEastAsia" w:hAnsiTheme="minorEastAsia"/>
          <w:sz w:val="24"/>
        </w:rPr>
      </w:pPr>
      <w:r w:rsidRPr="008800D8">
        <w:rPr>
          <w:rFonts w:asciiTheme="minorEastAsia" w:eastAsiaTheme="minorEastAsia" w:hAnsiTheme="minorEastAsia" w:hint="eastAsia"/>
          <w:sz w:val="24"/>
        </w:rPr>
        <w:t>医保DRG医院智慧运营管理服务</w:t>
      </w:r>
    </w:p>
    <w:tbl>
      <w:tblPr>
        <w:tblW w:w="9162" w:type="dxa"/>
        <w:tblInd w:w="-431" w:type="dxa"/>
        <w:tblLook w:val="04A0"/>
      </w:tblPr>
      <w:tblGrid>
        <w:gridCol w:w="704"/>
        <w:gridCol w:w="856"/>
        <w:gridCol w:w="1285"/>
        <w:gridCol w:w="6317"/>
      </w:tblGrid>
      <w:tr w:rsidR="000E40F7" w:rsidRPr="008800D8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</w:rPr>
            </w:pPr>
            <w:bookmarkStart w:id="0" w:name="_Hlk148601236"/>
            <w:r w:rsidRPr="008800D8">
              <w:rPr>
                <w:rFonts w:asciiTheme="minorEastAsia" w:hAnsiTheme="minorEastAsia" w:cs="宋体" w:hint="eastAsia"/>
                <w:b/>
                <w:bCs/>
                <w:kern w:val="0"/>
                <w:sz w:val="24"/>
              </w:rPr>
              <w:t>大类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b/>
                <w:bCs/>
                <w:kern w:val="0"/>
                <w:sz w:val="24"/>
              </w:rPr>
              <w:t>模块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b/>
                <w:bCs/>
                <w:kern w:val="0"/>
                <w:sz w:val="24"/>
              </w:rPr>
              <w:t>功能点</w:t>
            </w:r>
          </w:p>
        </w:tc>
        <w:tc>
          <w:tcPr>
            <w:tcW w:w="6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b/>
                <w:bCs/>
                <w:kern w:val="0"/>
                <w:sz w:val="24"/>
              </w:rPr>
              <w:t>详细参数</w:t>
            </w:r>
          </w:p>
        </w:tc>
      </w:tr>
      <w:tr w:rsidR="000E40F7" w:rsidRPr="008800D8"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在院管理服务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医生助手（在院DRG分组监测接口）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1) 提供全院病例DRG分组预测与预警信息，包括费用异常预警、病历质控预警、不合理入院预警，预警条件支持自定义设置；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提供病例当前实时DRG预测分组信息，以及住院费用进度条，直观了解费用消耗情况；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支持查看患者基本信息、诊断、手术，以及历史住院的DRG分组与诊断/手术信息；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4) 支持在院期间查看各个费用结构及费用标杆值，并能下钻查看各费用项目明细，包括药品、耗材、检查检验等；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5) 支持大数据模拟分组，通过调整主诊断、次诊断、主手术、次手术进行模拟分组，对中医分组支持主病主症模拟分组；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6) 支持病例按多种结算方式进行预测对比，包括床日结算、病组结算、中医结算，并优先展示结算金额最高的结算方式；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7) 支持手动选择任意患者按照床日结算类型进行预测；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8) 支持输入主诊断后，智能推荐相匹配的常用手术；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9) ★支持按照地区医保结算规则进行适配，包括新技术、特殊药品耗材追加、基础病组同病同价等。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事中监测分析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在院监测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[病例范围：当前在院患者]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1) 提供全院病例DRG分组预测与预警信息，包括费用异常预警、病历质控预警、不合理入院预警，预警条件支持自定义设置；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提供病例当前实时DRG预测分组信息，以及住院费用进度条，直观了解费用消耗情况；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支持查看患者基本信息、诊断、手术，以及历史住院的DRG分组与诊断/手术信息；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4) 支持在院期间查看各个费用结构及费用标杆值，并能下钻查看各费用项目明细，包括药品、耗材、检查检验等；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5) 支持多种筛选条件查找数据：包括结算方式（床日结算、病组结算）、病例类型（高倍率、低倍率、正常病例等）、医保类型等；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6) 支持筛选特殊病例：包括15天再入院、基础病组、中途出院结算、住院天数超高、24小时出入院、新技术病例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lastRenderedPageBreak/>
              <w:t>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7) 支持按姓名、住院号、患者ID、床位号等搜索病例；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8) 支持从科室、医疗组、病区、医生等维度查看预警病例；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9) 列表字段支持用户自定义显示与排列，包含表头字段是否显示以及固定列设置，支持列表所有数据下载；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10) 支持大数据模拟分组，通过调整主诊断、次诊断、主手术、次手术进行模拟分组，对中医分组支持主病主症模拟分组；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11) 支持病例按多种结算方式进行预测对比，包括床日结算、病组结算、中医结算，并优先展示结算金额最高的结算方式；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12) 支持手动选择任意患者按照床日结算类型进行预测；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13) 支持按照地区医保结算规则进行适配，包括新技术、特殊药品耗材追加、基础病组同病同价等。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提交前病例监测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[病例范围：出院但未将病历提交病案室归档的病例]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1) 提供全院病例DRG分组预测与预警信息，包括费用异常预警、病历质控预警、不合理入院预警，预警条件支持自定义设置；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提供病例当前实时DRG预测分组信息，以及住院费用进度条，直观了解费用消耗情况；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支持查看患者基本信息、诊断、手术，以及历史住院的DRG分组与诊断/手术信息；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4) 支持在院期间查看各个费用结构及费用标杆值，并能下钻查看各费用项目明细，包括药品、耗材、检查检验等；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5) 支持多种筛选条件查找数据：包括结算方式（床日结算、病组结算）、病例类型（高倍率、低倍率、正常病例等）、医保类型等；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6) 支持筛选特殊病例：包括15天再入院、基础病组、中途出院结算、住院天数超高、24小时出入院、新技术病例等；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7) 支持按姓名、住院号、患者ID、床位号等搜索病例；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8) 支持从科室、医疗组、病区、医生等维度查看预警病例；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9) 列表字段支持用户自定义显示与排列，包含表头字段是否显示以及固定列设置，支持列表所有数据下载；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10) 支持大数据模拟分组，通过调整主诊断、次诊断、主手术、次手术进行模拟分组，对中医分组支持主病主症模拟分组；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lastRenderedPageBreak/>
              <w:t>11) 支持病例按多种结算方式进行预测对比，包括床日结算、病组结算、中医结算，并优先展示结算金额最高的结算方式；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12) 支持手动选择任意患者按照床日结算类型进行预测；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13) 支持按照地区医保结算规则进行适配，包括新技术、特殊药品耗材追加、基础病组同病同价等。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已提交病例分析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[病例范围：出院已提交病案归档，但未与医保局结算的病例]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1) 支持对比查看临床与病案编码后病例的诊断、手术、DRG分组数据，并对不一致数据进行颜色标记；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支持多种筛选条件查找数据：包括结算方式（床日结算、病组结算）、病例类型（高倍率、低倍率、正常病例等）、医保类型等；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支持筛选特殊病例：包括15天再入院、基础病组、中途出院结算、住院天数超高、24小时出入院、新技术病例等；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4) 支持按姓名、住院号、患者ID、床位号等搜索病例；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5) 列表字段支持用户自定义显示与排列，包含表头字段是否显示以及固定列设置，支持列表所有数据下载；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6) 支持大数据模拟分组，通过调整主诊断、次诊断、主手术、次手术进行模拟分组，对中医分组支持主病主症模拟分组；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7) 支持病例按多种结算方式进行预测对比，包括床日结算、病组结算、中医结算，并优先展示结算金额最高的结算方式。</w:t>
            </w:r>
          </w:p>
        </w:tc>
      </w:tr>
      <w:tr w:rsidR="000E40F7" w:rsidRPr="008800D8"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DRG运营分析服务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DRG驾驶舱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医院DRG整体情况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展示筛选时间段内全院病例数、总结余、CMI、病组数等DRG核心数据，所有统计图均支持放大和下载。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全院超支结余分析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展示筛选时间段内的超支结余趋势、超支结余科室分布、病例类型分布、高低倍率病例占比趋势，支持下钻。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全院费用构成分析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展示筛选时间段内各费用类型的金额及占比、药占比、耗占比、检查检验占比、医疗服务占比趋势，支持按病例类型选择统计范围。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全院资源使用效率分析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展示筛选时间段内次均费用、次均点数与平均住院日趋势，支持与去年同期比较。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全院病组构成分析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★展示筛选时间段内CMI趋势，各RW区间病组分布情况，RW区间支持自定义调整和下钻。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科室综合分析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bookmarkStart w:id="1" w:name="RANGE!C12"/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科室对比分析</w:t>
            </w:r>
            <w:bookmarkEnd w:id="1"/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1) 展示科室病例数、结余、病组数、CMI、入组率、药耗占比等相关指标数据对比，支持数据下钻；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提供按主题进行分析，包括运行指标监控、超支结余、费用构成、出院带药、不合理入院五大主题；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支持年/季/月筛选和自定义时间区间、病例范围、超支/结余科室筛选；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4) 支持根据不同用户设置重点关注科室，并能够快速筛选和查看重点科室数据；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5) ★支持运行目标与标杆数据对比，其中标杆数据根据历史数据自动生成，支持自定义修改标杆值，支持快速筛选超标科室；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6) 支持二级科室管理，可以按照出院科室、管理科室分布查看和统计数据；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7) 列表字段支持用户自定义显示与排列，包含表头字段是否显示以及固定列设置，支持查看指标同比，列表数据下载。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科室主页（科室下钻分析）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[单科室下DRG运营数据统计分析]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1) 总览：支持科室多选，展示科室所选时间段内DRG核心数据概览，包含病例数、CMI、结余、药耗占比、人头人次比、N天再入院、病组构成、平均住院日等；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超支结余分析：展示科室超支结余/次均结余趋势、超支结余病组分布及趋势、超支结余病例分布及趋势、病例类型分布、高低倍率病例占比趋势；支持下钻；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费用构成分析：展示科室在各个费用类型的金额及占比，药耗占比趋势，支持按病例类型选择统计范围；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4) 病组构成分析：通过矩阵象限，分析科室优势病组、劣势病组；支持数据对比与下钻，对不同象限的病组提供分析结论；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5) 资源使用效率分析：展示科室平均住院日趋势、次均费用趋势、时间消耗指数、费用消耗指数，支持与去年次均费用对比；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6) 病历质量分析：展示科室编码前后分组不一致病例数趋势、点数差趋势、结余差趋势；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7) 病组列表：同科室下不同病组DRG运营数据对比，支持下载；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8) 医疗组列表：同科室下不同医疗组DRG运营数据对比，支持下载；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lastRenderedPageBreak/>
              <w:t>9) 医生列表：同科室下不同医生DRG运营数据对比，支持下载；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10) 病例列表：展示科室所选时间段内所有病例数据，支持按医疗组、病组、医生筛选、查看病例详情、模拟分组，支持表格数据下载。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病组综合分析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病组对比分析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1) 展示各DRG病组病例数、结余、RW、药耗占比、时间消耗指数、费用消耗指数等相关指标数据对比，支持下钻；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支持按主题进行分析，包括运行指标监控、超支结余、费用构成、RW区间分布，其中RW区间支持自定义设置；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支持年/季/月筛选和自定义时间区间、病例范围、超支/结余科室筛选；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4) 支持运行目标与标杆数据对比，其中标杆数据根据历史数据自动生成，支持自定义修改标杆值，支持快速筛选超标病组；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5) 列表字段支持用户自定义显示与排列，包含表头字段是否显示以及固定列设置，支持查看指标同比，列表数据下载；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6) 支持根据不同用户设置重点关注病组，并能够快速筛选和查看重点病组数据。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病组主页（病组下钻分析）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[单病组下DRG运营数据统计分析]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1) 总览：支持病组多选，展示病组在所选时间段内DRG核心数据概览，包含总病例数、RW、结余、药耗占比、病组构成、平均住院日等；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超支结余分析：展示病组超支结余/次均结余趋势、超支结余病例分布及趋势、病例类型分布、高低倍率病例占比趋势；支持下钻；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费用构成分析：展示病组各个费用类型的金额、占比及超支影响率，药耗占比趋势，支持按病例类型选择统计范围；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4) 资源使用效率分析：展示病组平均住院日趋势、次均费用趋势、时间消耗指数、费用消耗指数；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5) 科室列表：同病组下不同科室DRG运营数据对比，支持下载；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6) 医疗组列表：同病组下不同医疗组DRG运营数据对比，支持下载；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7) 病例列表：所选病组所选时间段内所有病例数据，支持筛选、查看病例详情、模拟分组、下载。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医疗组综合分析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医疗组对比分析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1) 展示医疗组病例数、结余、病组数、CMI、入组率、药耗占比等DRG相关指标数据对比，支持数据下钻；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支持快捷筛选，包括超支医疗组、结余医疗组、环比结余增加、减少等，支持年/季/月筛选和自定义时间区间、病例范围筛选；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支持根据不同用户设置重点关注科室，并能够快速筛选和查看重点科室数据；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4) 列表字段支持用户自定义显示与排列，包含表头字段是否显示以及固定列设置，支持查看指标同比，列表数据下载。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医疗组主页（医疗组下钻分析）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[单医疗组下DRG运营数据统计分析]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1) 总览：支持医疗组多选，展示医疗组在所选时间段内DRG核心数据概览，包含病例数、CMI、总权重、结余、药耗占比、病组构成、平均住院日等；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超支结余分析：展示医疗组超支结余/次均结余趋势、超支结余病组分布及趋势、超支结余病例分布及趋势、病例类型分布、高低倍率病例占比趋势；支持下钻；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费用构成分析：展示医疗组各个费用类型的金额及占比，药耗占比趋势，支持按病例类型选择统计范围；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4) 病组构成分析：通过矩阵象限，分析所选医疗组优势病组、劣势病组；支持数据对比与下钻，对不同象限的病组提供分析结论；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5) 资源使用效率分析：展示医疗组平均住院日趋势、次均费用趋势、时间消耗指数、费用消耗指数；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6) 病组列表：同医疗组下不同病组DRG运营数据对比，支持下载；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7) 医生列表：同医疗组下不同医生DRG运营数据对比，支持下载；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8) 病例列表：所选医疗组所选时间段内所有病例数据，支持筛选、查看病例详情、模拟分组、下载。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医生综合对比分析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1) 展示医生病例数、结余、CMI、次均费用、总点数、人头人次比、病组数、高低倍率病例占比等DRG相关指标数据对比，支持数据下钻；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支持快捷筛选，包括超支医生、结余医生、环比结余增加、减少、高低倍率病例占比高/低于全院平均等；支持年/季/月筛选和自定义时间区间、病例范围筛选、按医疗组筛选病例；支持模糊搜索医生；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lastRenderedPageBreak/>
              <w:t>3) 列表字段支持用户自定义显示与排列，包含表头字段是否显示以及固定列设置，列表数据下载。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专题分析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费用分摊分析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[根据患者在各临床开单科室产生的费用占比，将DRG结余按比例分摊统计分析]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1) 展示按出院科室与按费用产生科室结余对比；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支持查看产生费用分摊病例明细，及病例在各科室的费用情况，支持下载；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支持按时间、科室、病例范围等筛选，支持表格按不同字段排序。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学科发展分析-学科覆盖度分析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★展示各MDC中医院病组/病例相对地区全部病组的覆盖度、各MDC医院病组/病例占比（覆盖度），以此反映医院学科广度，支持数据下载。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学科发展分析-科室评价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★通过矩阵象限，分析在医保DRG下相对优势的科室、劣势的科室；支持指标组合维度切换、原点自定义；支持数据下钻与下载。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学科发展分析-病组评价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★通过矩阵象限，分析在医保DRG下医院的优势病组、劣势病组；支持指标组合维度切换；支持病组范围自定义，支持数据下钻与下载。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病例性质分析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1) 展示各个统筹区、各个医保类型的病例数量及比例；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支持按照统筹区、医保类型分析全院及科室的核心指标，包括病例数、医疗总费用、次均费用、结余、平均住院日、CMI、药占比、耗占比、医技占比等；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支持表格数据排序和下载。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病例数据综合查询与下载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1) 展示病例明细数据，支持查看详情，包含DRG分组、诊断/手术、费用占比及明细等信息；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支持按病例类型、15天再入院、科室、结余范围等条件组合筛选；支持按住院号、患者姓名、病案号、主诊主手等模糊搜索病例；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支持表格数据排序和筛选，支持15天再入院及其上次关联病例的数据下载；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4) 支持大数据模拟分组，通过调整主诊断、次诊断、主手术、次手术进行模拟分组；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5) 支持病例按多种结算方式进行预测对比，包括床日结算、病组结算、中医结算，并优先展示点数最高的结算方式。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指标综合查询与下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lastRenderedPageBreak/>
              <w:t>载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lastRenderedPageBreak/>
              <w:t>1) 提供各个主题的指标下载，包括医疗服务能力、费用控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lastRenderedPageBreak/>
              <w:t>制、DRG结算指标、费用控制等；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支持指标自定义选择数据范围、时间范围、导出维度（全院/科室/病组等）；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支持保存指标报表模板，方便同一报表重复下载；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4) 支持导出DRG系统点击量统计指标，维度支持全院、科室、操作工号。</w:t>
            </w:r>
          </w:p>
        </w:tc>
      </w:tr>
      <w:tr w:rsidR="000E40F7" w:rsidRPr="008800D8"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lastRenderedPageBreak/>
              <w:t>医保结算管理服务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结算导入管理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1) 支持导入导入医保局下发的月度/年度结算单，支持导入后异常数据的手动处理，导入后系统以导入数据为准进行分析；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支持根据不同统筹区灵活设置点值；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支持根据中位数、均值或自定义等方式录入预测点费；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4) 支持查看不同月份、年份点费差异和对比。</w:t>
            </w:r>
          </w:p>
        </w:tc>
      </w:tr>
      <w:tr w:rsidR="000E40F7" w:rsidRPr="008800D8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DRG结算核对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重点病例分组核对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1) 支持按分组不一致、含特殊药品耗材、是否已查阅、院内已申诉、病例类型、特殊结算病例等条件筛选，可快速定位重点病例；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支持查看病例DRG预分组与医保结算分组对比，支持查看诊断/手术、费用明细、病历文书等数据，用于核对分组，判断是否需要申诉；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支持大数据模拟分组，通过调整主诊断、次诊断、主手术、次手术进行模拟分组；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4) 支持按科室统计超支结余，表格字段用户自定义显示与排列，包含表头字段是否显示以及固定列设置，支持列表数据下载；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5) 提供医保分组与预测分组一致率的统计。</w:t>
            </w:r>
          </w:p>
        </w:tc>
      </w:tr>
      <w:tr w:rsidR="000E40F7" w:rsidRPr="008800D8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病例申诉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1) 支持病例申诉流程，支持医生填写申诉资料及上传图片，支持医保办对申诉进行修改、确认操作；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支持查看与下载病例申诉汇总；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★申诉反馈：支持查看申诉前后分组数据对比。</w:t>
            </w:r>
          </w:p>
        </w:tc>
      </w:tr>
      <w:tr w:rsidR="000E40F7" w:rsidRPr="008800D8"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系统管理服务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系统设置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费用构成规则设置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支持自定义设置费用分类，系统根据该分类进行费用相关指标的统计和分析。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风险审核规则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支持自定义设置费用异常、不合理入院、再入院、体检入院等预警病例的条件。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结算单导入设置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支持结算导入字段映射和处理。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标杆设置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支持自定义设置病组和科室的标杆值。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事中费用预警设置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支持自定义高倍预警、低倍预警、超支风险三类费用预警的规则与生效范围。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病例详情设置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支持自定义病例详情控费进度条的展示形式，以及详情页的字段信息、指标展示。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特殊结算方式设置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支持自定义事中监测优先按点数最高预测、优先按病组预测、优先按床日预测等，开关按床日结算预测和中医预测结算。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账号权限管理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管理科室设置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支持按出院科室设置大科室，满足医院二级科室管理。</w:t>
            </w:r>
          </w:p>
        </w:tc>
      </w:tr>
      <w:tr w:rsidR="000E40F7" w:rsidRPr="008800D8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角色与数据权限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支持根据医院需要，按照院级、科级、医生不同角色设置菜单和数据权限。</w:t>
            </w:r>
          </w:p>
        </w:tc>
      </w:tr>
      <w:bookmarkEnd w:id="0"/>
    </w:tbl>
    <w:p w:rsidR="000E40F7" w:rsidRPr="008800D8" w:rsidRDefault="000E40F7">
      <w:pPr>
        <w:rPr>
          <w:rFonts w:asciiTheme="minorEastAsia" w:hAnsiTheme="minorEastAsia"/>
          <w:sz w:val="24"/>
        </w:rPr>
      </w:pPr>
    </w:p>
    <w:p w:rsidR="000E40F7" w:rsidRPr="008800D8" w:rsidRDefault="007327B6">
      <w:pPr>
        <w:pStyle w:val="1"/>
        <w:rPr>
          <w:rFonts w:asciiTheme="minorEastAsia" w:eastAsiaTheme="minorEastAsia" w:hAnsiTheme="minorEastAsia"/>
          <w:sz w:val="24"/>
        </w:rPr>
      </w:pPr>
      <w:r w:rsidRPr="008800D8">
        <w:rPr>
          <w:rFonts w:asciiTheme="minorEastAsia" w:eastAsiaTheme="minorEastAsia" w:hAnsiTheme="minorEastAsia" w:cs="Arial" w:hint="eastAsia"/>
          <w:bCs/>
          <w:sz w:val="24"/>
        </w:rPr>
        <w:t>病案首页质控服务</w:t>
      </w:r>
    </w:p>
    <w:tbl>
      <w:tblPr>
        <w:tblW w:w="8608" w:type="dxa"/>
        <w:tblLook w:val="04A0"/>
      </w:tblPr>
      <w:tblGrid>
        <w:gridCol w:w="988"/>
        <w:gridCol w:w="992"/>
        <w:gridCol w:w="6628"/>
      </w:tblGrid>
      <w:tr w:rsidR="000E40F7" w:rsidRPr="008800D8">
        <w:trPr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b/>
                <w:bCs/>
                <w:kern w:val="0"/>
                <w:sz w:val="24"/>
              </w:rPr>
              <w:t>模块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b/>
                <w:bCs/>
                <w:kern w:val="0"/>
                <w:sz w:val="24"/>
              </w:rPr>
              <w:t>功能点</w:t>
            </w: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b/>
                <w:bCs/>
                <w:kern w:val="0"/>
                <w:sz w:val="24"/>
              </w:rPr>
              <w:t>详细参数</w:t>
            </w:r>
          </w:p>
        </w:tc>
      </w:tr>
      <w:tr w:rsidR="000E40F7" w:rsidRPr="008800D8"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第三方嵌入服务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医生端实时质控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1) 支持在院内电子病历系统中，集成调用病案质控页面；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支持实时查看单份病例的DRG预测分组信息、质控结果信息；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支持查看本系统内批注并进行回复。</w:t>
            </w:r>
          </w:p>
        </w:tc>
      </w:tr>
      <w:tr w:rsidR="000E40F7" w:rsidRPr="008800D8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F7" w:rsidRPr="008800D8" w:rsidRDefault="000E40F7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病案端实时质控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numPr>
                <w:ilvl w:val="0"/>
                <w:numId w:val="2"/>
              </w:numPr>
              <w:spacing w:line="276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支持在院内病案管理系统中，集成调用病案质控页面；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2) 支持实时查看单份病例的DRG预测分组信息、质控结果信息、查看费用明细；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3) 支持查看本系统内批注并进行回复；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4) 支持通过调整主诊断/主手术进行模拟分组；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br/>
              <w:t>5) 支持查看与临床诊断不一致，可查看临床诊断与病案编码的对比信息。</w:t>
            </w:r>
          </w:p>
        </w:tc>
      </w:tr>
      <w:tr w:rsidR="000E40F7" w:rsidRPr="008800D8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首页问题检测服务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numPr>
                <w:ilvl w:val="0"/>
                <w:numId w:val="3"/>
              </w:numPr>
              <w:spacing w:line="276" w:lineRule="auto"/>
              <w:ind w:left="40" w:firstLine="0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支持按编码员、出院科室、病例范围、病组类型、病案工作筛选、15天再入院进行病例筛选，支持按出院日期、录入日期统计筛选时间段内以上病例。</w:t>
            </w:r>
          </w:p>
          <w:p w:rsidR="000E40F7" w:rsidRPr="008800D8" w:rsidRDefault="007327B6">
            <w:pPr>
              <w:widowControl/>
              <w:numPr>
                <w:ilvl w:val="0"/>
                <w:numId w:val="3"/>
              </w:numPr>
              <w:spacing w:line="276" w:lineRule="auto"/>
              <w:ind w:left="40" w:firstLine="0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支持按病案号、住院号、患者姓名、DRG分组、诊断、手术进行搜索。</w:t>
            </w:r>
          </w:p>
          <w:p w:rsidR="000E40F7" w:rsidRPr="008800D8" w:rsidRDefault="007327B6">
            <w:pPr>
              <w:widowControl/>
              <w:numPr>
                <w:ilvl w:val="0"/>
                <w:numId w:val="3"/>
              </w:numPr>
              <w:spacing w:line="276" w:lineRule="auto"/>
              <w:ind w:left="40" w:firstLine="0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支持按重点问题病案、一般问题病案、优质病案、全部质检病案查看对应病例，包含每份病例的DRG预测分组信息、费用信息、质控结果信息、诊断手术信息、批注信息等；支持对于入组异常患者展示入组解析；支持打开病案首页详情查看具体信息；支持按病案工作内容进行筛选，包含批注情况、质控结果处理情况、病案已读状态的维度</w:t>
            </w:r>
          </w:p>
          <w:p w:rsidR="000E40F7" w:rsidRPr="008800D8" w:rsidRDefault="007327B6">
            <w:pPr>
              <w:widowControl/>
              <w:numPr>
                <w:ilvl w:val="0"/>
                <w:numId w:val="3"/>
              </w:numPr>
              <w:spacing w:line="276" w:lineRule="auto"/>
              <w:ind w:left="40" w:firstLine="0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hint="eastAsia"/>
                <w:sz w:val="24"/>
              </w:rPr>
              <w:t>对于入组异常的患者展示入组解析，如未入组和歧义组的患者</w:t>
            </w:r>
          </w:p>
          <w:p w:rsidR="000E40F7" w:rsidRPr="008800D8" w:rsidRDefault="007327B6">
            <w:pPr>
              <w:widowControl/>
              <w:numPr>
                <w:ilvl w:val="0"/>
                <w:numId w:val="3"/>
              </w:numPr>
              <w:spacing w:line="276" w:lineRule="auto"/>
              <w:ind w:left="40" w:firstLine="0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支持医疗总费用查看，包括DRG医疗总费用、结算金额、</w:t>
            </w: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lastRenderedPageBreak/>
              <w:t>地区病组均费、本院病组标准均费的分布情况；支持按收费类型查看项目明细；</w:t>
            </w:r>
          </w:p>
          <w:p w:rsidR="000E40F7" w:rsidRPr="008800D8" w:rsidRDefault="007327B6">
            <w:pPr>
              <w:widowControl/>
              <w:numPr>
                <w:ilvl w:val="0"/>
                <w:numId w:val="3"/>
              </w:numPr>
              <w:spacing w:line="276" w:lineRule="auto"/>
              <w:ind w:left="40" w:firstLine="0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支持通过调整主次诊断、手术顺序对病例进行模拟入组，比对查看新旧分组预测与结余情况；</w:t>
            </w:r>
          </w:p>
          <w:p w:rsidR="000E40F7" w:rsidRPr="008800D8" w:rsidRDefault="007327B6">
            <w:pPr>
              <w:pStyle w:val="a3"/>
              <w:numPr>
                <w:ilvl w:val="0"/>
                <w:numId w:val="3"/>
              </w:numPr>
              <w:snapToGrid w:val="0"/>
              <w:spacing w:line="276" w:lineRule="auto"/>
              <w:ind w:left="40" w:firstLineChars="0" w:firstLine="0"/>
              <w:rPr>
                <w:rFonts w:asciiTheme="minorEastAsia" w:hAnsiTheme="minorEastAsia"/>
                <w:sz w:val="24"/>
              </w:rPr>
            </w:pPr>
            <w:r w:rsidRPr="008800D8">
              <w:rPr>
                <w:rFonts w:asciiTheme="minorEastAsia" w:hAnsiTheme="minorEastAsia"/>
                <w:sz w:val="24"/>
              </w:rPr>
              <w:t>支持填写整改批注</w:t>
            </w:r>
            <w:r w:rsidRPr="008800D8">
              <w:rPr>
                <w:rFonts w:asciiTheme="minorEastAsia" w:hAnsiTheme="minorEastAsia" w:hint="eastAsia"/>
                <w:sz w:val="24"/>
              </w:rPr>
              <w:t>并选择对应的批注类型</w:t>
            </w:r>
            <w:r w:rsidRPr="008800D8">
              <w:rPr>
                <w:rFonts w:asciiTheme="minorEastAsia" w:hAnsiTheme="minorEastAsia"/>
                <w:sz w:val="24"/>
              </w:rPr>
              <w:t>，输入批注内容</w:t>
            </w:r>
            <w:r w:rsidRPr="008800D8">
              <w:rPr>
                <w:rFonts w:asciiTheme="minorEastAsia" w:hAnsiTheme="minorEastAsia" w:hint="eastAsia"/>
                <w:sz w:val="24"/>
              </w:rPr>
              <w:t>并选择问题归属后，</w:t>
            </w:r>
            <w:r w:rsidRPr="008800D8">
              <w:rPr>
                <w:rFonts w:asciiTheme="minorEastAsia" w:hAnsiTheme="minorEastAsia"/>
                <w:sz w:val="24"/>
              </w:rPr>
              <w:t>后可</w:t>
            </w:r>
            <w:r w:rsidRPr="008800D8">
              <w:rPr>
                <w:rFonts w:asciiTheme="minorEastAsia" w:hAnsiTheme="minorEastAsia" w:hint="eastAsia"/>
                <w:sz w:val="24"/>
              </w:rPr>
              <w:t>指定</w:t>
            </w:r>
            <w:r w:rsidRPr="008800D8">
              <w:rPr>
                <w:rFonts w:asciiTheme="minorEastAsia" w:hAnsiTheme="minorEastAsia"/>
                <w:sz w:val="24"/>
              </w:rPr>
              <w:t>发送至相关的医生和编码员，</w:t>
            </w:r>
            <w:r w:rsidRPr="008800D8">
              <w:rPr>
                <w:rFonts w:asciiTheme="minorEastAsia" w:hAnsiTheme="minorEastAsia" w:hint="eastAsia"/>
                <w:sz w:val="24"/>
              </w:rPr>
              <w:t>支持暂不发送仅保存</w:t>
            </w:r>
            <w:r w:rsidRPr="008800D8">
              <w:rPr>
                <w:rFonts w:asciiTheme="minorEastAsia" w:hAnsiTheme="minorEastAsia"/>
                <w:sz w:val="24"/>
              </w:rPr>
              <w:t>；</w:t>
            </w:r>
          </w:p>
          <w:p w:rsidR="000E40F7" w:rsidRPr="008800D8" w:rsidRDefault="007327B6">
            <w:pPr>
              <w:widowControl/>
              <w:numPr>
                <w:ilvl w:val="0"/>
                <w:numId w:val="3"/>
              </w:numPr>
              <w:spacing w:line="276" w:lineRule="auto"/>
              <w:ind w:left="40" w:firstLine="0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支持查看与临床诊断不一致，可查看临床诊断与病案编码的对比信息；</w:t>
            </w:r>
          </w:p>
          <w:p w:rsidR="000E40F7" w:rsidRPr="008800D8" w:rsidRDefault="007327B6">
            <w:pPr>
              <w:widowControl/>
              <w:numPr>
                <w:ilvl w:val="0"/>
                <w:numId w:val="3"/>
              </w:numPr>
              <w:spacing w:line="276" w:lineRule="auto"/>
              <w:ind w:left="40" w:firstLine="0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支持查看15天内再入院病例，可查看历次住院的分组与诊断/手术信息；</w:t>
            </w:r>
          </w:p>
          <w:p w:rsidR="000E40F7" w:rsidRPr="008800D8" w:rsidRDefault="007327B6">
            <w:pPr>
              <w:widowControl/>
              <w:numPr>
                <w:ilvl w:val="0"/>
                <w:numId w:val="3"/>
              </w:numPr>
              <w:spacing w:line="276" w:lineRule="auto"/>
              <w:ind w:left="40" w:firstLine="0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列表表头支持自定义展示，可选择展示的表头字段和排序位置；</w:t>
            </w:r>
          </w:p>
          <w:p w:rsidR="000E40F7" w:rsidRPr="008800D8" w:rsidRDefault="007327B6">
            <w:pPr>
              <w:widowControl/>
              <w:numPr>
                <w:ilvl w:val="0"/>
                <w:numId w:val="3"/>
              </w:numPr>
              <w:spacing w:line="276" w:lineRule="auto"/>
              <w:ind w:left="40" w:firstLine="0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支持对质检结果进行操作，包括标识为已修改、不认同、待讨论；选择不认同时可选择无需修改或关闭规则，并填写关闭理由；选择待讨论时可输入待讨论内容；具体操作及操作人支持在操作记录中查看，并支持下载导出列表；</w:t>
            </w:r>
          </w:p>
          <w:p w:rsidR="000E40F7" w:rsidRPr="008800D8" w:rsidRDefault="007327B6">
            <w:pPr>
              <w:widowControl/>
              <w:numPr>
                <w:ilvl w:val="0"/>
                <w:numId w:val="3"/>
              </w:numPr>
              <w:spacing w:line="276" w:lineRule="auto"/>
              <w:ind w:left="40" w:firstLine="0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kern w:val="0"/>
                <w:sz w:val="24"/>
              </w:rPr>
              <w:t>病案详情支持启用模拟质检/分组，填写整改批注，模拟修改后可对比查看前后分组及质检结果；</w:t>
            </w:r>
          </w:p>
          <w:p w:rsidR="000E40F7" w:rsidRPr="008800D8" w:rsidRDefault="007327B6">
            <w:pPr>
              <w:pStyle w:val="a3"/>
              <w:widowControl/>
              <w:numPr>
                <w:ilvl w:val="0"/>
                <w:numId w:val="3"/>
              </w:numPr>
              <w:spacing w:line="276" w:lineRule="auto"/>
              <w:ind w:left="40" w:firstLineChars="0" w:firstLine="0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8800D8">
              <w:rPr>
                <w:rFonts w:asciiTheme="minorEastAsia" w:hAnsiTheme="minorEastAsia" w:hint="eastAsia"/>
                <w:sz w:val="24"/>
              </w:rPr>
              <w:t>支持下载当前列表、整改批注、操作记录</w:t>
            </w:r>
          </w:p>
        </w:tc>
      </w:tr>
    </w:tbl>
    <w:p w:rsidR="000E40F7" w:rsidRPr="008800D8" w:rsidRDefault="007327B6">
      <w:pPr>
        <w:rPr>
          <w:rFonts w:asciiTheme="minorEastAsia" w:hAnsiTheme="minorEastAsia"/>
          <w:sz w:val="24"/>
        </w:rPr>
      </w:pPr>
      <w:r w:rsidRPr="008800D8">
        <w:rPr>
          <w:rFonts w:asciiTheme="minorEastAsia" w:hAnsiTheme="minorEastAsia"/>
          <w:sz w:val="24"/>
        </w:rPr>
        <w:lastRenderedPageBreak/>
        <w:br w:type="page"/>
      </w:r>
    </w:p>
    <w:p w:rsidR="000E40F7" w:rsidRPr="008800D8" w:rsidRDefault="00776447">
      <w:pPr>
        <w:pStyle w:val="1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商保通管理服务</w:t>
      </w:r>
    </w:p>
    <w:tbl>
      <w:tblPr>
        <w:tblW w:w="4998" w:type="pct"/>
        <w:tblLook w:val="04A0"/>
      </w:tblPr>
      <w:tblGrid>
        <w:gridCol w:w="1057"/>
        <w:gridCol w:w="914"/>
        <w:gridCol w:w="1379"/>
        <w:gridCol w:w="5169"/>
      </w:tblGrid>
      <w:tr w:rsidR="000E40F7" w:rsidRPr="008800D8">
        <w:trPr>
          <w:trHeight w:val="560"/>
        </w:trPr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0E40F7" w:rsidRPr="008800D8" w:rsidRDefault="007327B6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系统名称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0E40F7" w:rsidRPr="008800D8" w:rsidRDefault="007327B6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功能模块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  <w:vAlign w:val="center"/>
          </w:tcPr>
          <w:p w:rsidR="000E40F7" w:rsidRPr="008800D8" w:rsidRDefault="007327B6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功能点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0E40F7" w:rsidRPr="008800D8" w:rsidRDefault="007327B6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功能描述</w:t>
            </w:r>
          </w:p>
        </w:tc>
      </w:tr>
      <w:tr w:rsidR="000E40F7" w:rsidRPr="008800D8">
        <w:trPr>
          <w:trHeight w:val="1225"/>
        </w:trPr>
        <w:tc>
          <w:tcPr>
            <w:tcW w:w="6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商保通管理平台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商保快赔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color w:val="000000"/>
                <w:kern w:val="0"/>
                <w:sz w:val="24"/>
              </w:rPr>
              <w:t>在线快赔申请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color w:val="000000"/>
                <w:kern w:val="0"/>
                <w:sz w:val="24"/>
              </w:rPr>
              <w:t>门诊及住院商保患者，在院就诊后支持在线申请快赔，经商业保险公司线上确权后，实现电子化数据审核并在0-2天内完成赔付。</w:t>
            </w:r>
          </w:p>
        </w:tc>
      </w:tr>
      <w:tr w:rsidR="000E40F7" w:rsidRPr="008800D8">
        <w:trPr>
          <w:trHeight w:val="720"/>
        </w:trPr>
        <w:tc>
          <w:tcPr>
            <w:tcW w:w="6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0E40F7">
            <w:pPr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24"/>
              </w:rPr>
            </w:pPr>
          </w:p>
        </w:tc>
        <w:tc>
          <w:tcPr>
            <w:tcW w:w="5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商保直赔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color w:val="000000"/>
                <w:kern w:val="0"/>
                <w:sz w:val="24"/>
              </w:rPr>
              <w:t>在线直赔申请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color w:val="000000"/>
                <w:kern w:val="0"/>
                <w:sz w:val="24"/>
              </w:rPr>
              <w:t>住院商保患者，办理入院后支持在线申请直赔，经商业保险公司线上确权后，享受电子化数据审核并出院实时赔付商保服务。</w:t>
            </w:r>
          </w:p>
        </w:tc>
      </w:tr>
      <w:tr w:rsidR="000E40F7" w:rsidRPr="008800D8">
        <w:trPr>
          <w:trHeight w:val="756"/>
        </w:trPr>
        <w:tc>
          <w:tcPr>
            <w:tcW w:w="6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0E40F7">
            <w:pPr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24"/>
              </w:rPr>
            </w:pPr>
          </w:p>
        </w:tc>
        <w:tc>
          <w:tcPr>
            <w:tcW w:w="5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0E40F7">
            <w:pPr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color w:val="000000"/>
                <w:kern w:val="0"/>
                <w:sz w:val="24"/>
              </w:rPr>
              <w:t>商保患者标记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color w:val="000000"/>
                <w:kern w:val="0"/>
                <w:sz w:val="24"/>
              </w:rPr>
              <w:t>经保司确权的商保患者，支持在医院信息系统中标识。</w:t>
            </w:r>
          </w:p>
        </w:tc>
      </w:tr>
      <w:tr w:rsidR="000E40F7" w:rsidRPr="008800D8">
        <w:trPr>
          <w:trHeight w:val="1092"/>
        </w:trPr>
        <w:tc>
          <w:tcPr>
            <w:tcW w:w="6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0E40F7">
            <w:pPr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24"/>
              </w:rPr>
            </w:pPr>
          </w:p>
        </w:tc>
        <w:tc>
          <w:tcPr>
            <w:tcW w:w="5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0E40F7">
            <w:pPr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color w:val="000000"/>
                <w:kern w:val="0"/>
                <w:sz w:val="24"/>
              </w:rPr>
              <w:t>直赔结算与金额确认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color w:val="000000"/>
                <w:kern w:val="0"/>
                <w:sz w:val="24"/>
              </w:rPr>
              <w:t>成功申请商保赔付金额的患者，支持出院结算时由窗口人员在HIS系统中实时获取本次商保赔付金额并与患者确认，患者仅需支付医保、商保扣减后的金额。（医院商保挂账金额由平台与医院日结）</w:t>
            </w:r>
          </w:p>
        </w:tc>
      </w:tr>
      <w:tr w:rsidR="000E40F7" w:rsidRPr="008800D8">
        <w:trPr>
          <w:trHeight w:val="520"/>
        </w:trPr>
        <w:tc>
          <w:tcPr>
            <w:tcW w:w="6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0E40F7">
            <w:pPr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24"/>
              </w:rPr>
            </w:pPr>
          </w:p>
        </w:tc>
        <w:tc>
          <w:tcPr>
            <w:tcW w:w="5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0E40F7">
            <w:pPr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color w:val="000000"/>
                <w:kern w:val="0"/>
                <w:sz w:val="24"/>
              </w:rPr>
              <w:t>对账与平帐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color w:val="000000"/>
                <w:kern w:val="0"/>
                <w:sz w:val="24"/>
              </w:rPr>
              <w:t>支持每日三方自动对账，并于交易产生的次日完成打款。</w:t>
            </w:r>
          </w:p>
        </w:tc>
      </w:tr>
      <w:tr w:rsidR="000E40F7" w:rsidRPr="008800D8">
        <w:trPr>
          <w:trHeight w:val="760"/>
        </w:trPr>
        <w:tc>
          <w:tcPr>
            <w:tcW w:w="6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0E40F7">
            <w:pPr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24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商保理赔管理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color w:val="000000"/>
                <w:kern w:val="0"/>
                <w:sz w:val="24"/>
              </w:rPr>
              <w:t>患者明细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color w:val="000000"/>
                <w:kern w:val="0"/>
                <w:sz w:val="24"/>
              </w:rPr>
              <w:t>统计在医院享受快赔、直赔服务的商保患者，包括所在科室、医疗总费用、商保赔付金额、主要疾病等。支持明细查询、支持调阅患者授权书。</w:t>
            </w:r>
          </w:p>
        </w:tc>
      </w:tr>
      <w:tr w:rsidR="000E40F7" w:rsidRPr="008800D8">
        <w:trPr>
          <w:trHeight w:val="375"/>
        </w:trPr>
        <w:tc>
          <w:tcPr>
            <w:tcW w:w="6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0E40F7">
            <w:pPr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24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商保对账管理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color w:val="000000"/>
                <w:kern w:val="0"/>
                <w:sz w:val="24"/>
              </w:rPr>
              <w:t>直付账单查询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0F7" w:rsidRPr="008800D8" w:rsidRDefault="007327B6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</w:rPr>
            </w:pPr>
            <w:r w:rsidRPr="008800D8">
              <w:rPr>
                <w:rFonts w:asciiTheme="minorEastAsia" w:hAnsiTheme="minorEastAsia" w:cs="宋体" w:hint="eastAsia"/>
                <w:color w:val="000000"/>
                <w:kern w:val="0"/>
                <w:sz w:val="24"/>
              </w:rPr>
              <w:t>直赔账单查询，用于调阅与查询直赔记账与打款情况，支持下载账单明细。</w:t>
            </w:r>
          </w:p>
        </w:tc>
      </w:tr>
    </w:tbl>
    <w:p w:rsidR="000E40F7" w:rsidRPr="008800D8" w:rsidRDefault="000E40F7">
      <w:pPr>
        <w:rPr>
          <w:rFonts w:asciiTheme="minorEastAsia" w:hAnsiTheme="minorEastAsia"/>
          <w:sz w:val="24"/>
        </w:rPr>
      </w:pPr>
      <w:bookmarkStart w:id="2" w:name="_GoBack"/>
      <w:bookmarkEnd w:id="2"/>
    </w:p>
    <w:p w:rsidR="008800D8" w:rsidRPr="008800D8" w:rsidRDefault="008800D8">
      <w:pPr>
        <w:rPr>
          <w:rFonts w:asciiTheme="minorEastAsia" w:hAnsiTheme="minorEastAsia"/>
          <w:b/>
          <w:sz w:val="28"/>
        </w:rPr>
      </w:pPr>
      <w:r w:rsidRPr="008800D8">
        <w:rPr>
          <w:rFonts w:asciiTheme="minorEastAsia" w:hAnsiTheme="minorEastAsia" w:hint="eastAsia"/>
          <w:b/>
          <w:sz w:val="28"/>
        </w:rPr>
        <w:t>二、实施及商务要求</w:t>
      </w:r>
    </w:p>
    <w:p w:rsidR="008800D8" w:rsidRPr="008800D8" w:rsidRDefault="008800D8">
      <w:pPr>
        <w:rPr>
          <w:rFonts w:asciiTheme="minorEastAsia" w:hAnsiTheme="minorEastAsia"/>
          <w:sz w:val="24"/>
        </w:rPr>
      </w:pPr>
      <w:r w:rsidRPr="008800D8">
        <w:rPr>
          <w:rFonts w:asciiTheme="minorEastAsia" w:hAnsiTheme="minorEastAsia" w:hint="eastAsia"/>
          <w:sz w:val="24"/>
        </w:rPr>
        <w:t>1、售后服务</w:t>
      </w:r>
    </w:p>
    <w:p w:rsidR="008800D8" w:rsidRPr="008800D8" w:rsidRDefault="008800D8" w:rsidP="008800D8">
      <w:pPr>
        <w:spacing w:line="360" w:lineRule="auto"/>
        <w:ind w:firstLineChars="200" w:firstLine="480"/>
        <w:rPr>
          <w:rFonts w:asciiTheme="minorEastAsia" w:hAnsiTheme="minorEastAsia" w:cs="宋体"/>
          <w:sz w:val="24"/>
        </w:rPr>
      </w:pPr>
      <w:r w:rsidRPr="008800D8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.1</w:t>
      </w:r>
      <w:r w:rsidRPr="008800D8">
        <w:rPr>
          <w:rFonts w:asciiTheme="minorEastAsia" w:hAnsiTheme="minorEastAsia" w:cs="宋体" w:hint="eastAsia"/>
          <w:sz w:val="24"/>
        </w:rPr>
        <w:t>整体</w:t>
      </w:r>
      <w:r>
        <w:rPr>
          <w:rFonts w:asciiTheme="minorEastAsia" w:hAnsiTheme="minorEastAsia" w:cs="宋体" w:hint="eastAsia"/>
          <w:sz w:val="24"/>
        </w:rPr>
        <w:t>服务</w:t>
      </w:r>
      <w:r w:rsidRPr="008800D8">
        <w:rPr>
          <w:rFonts w:asciiTheme="minorEastAsia" w:hAnsiTheme="minorEastAsia" w:cs="宋体" w:hint="eastAsia"/>
          <w:sz w:val="24"/>
        </w:rPr>
        <w:t>免费维保1年</w:t>
      </w:r>
    </w:p>
    <w:p w:rsidR="008800D8" w:rsidRPr="008800D8" w:rsidRDefault="008800D8" w:rsidP="008800D8">
      <w:pPr>
        <w:spacing w:line="360" w:lineRule="auto"/>
        <w:ind w:firstLineChars="200" w:firstLine="480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1</w:t>
      </w:r>
      <w:r w:rsidRPr="008800D8">
        <w:rPr>
          <w:rFonts w:asciiTheme="minorEastAsia" w:hAnsiTheme="minorEastAsia" w:cs="宋体" w:hint="eastAsia"/>
          <w:sz w:val="24"/>
        </w:rPr>
        <w:t>.</w:t>
      </w:r>
      <w:r>
        <w:rPr>
          <w:rFonts w:asciiTheme="minorEastAsia" w:hAnsiTheme="minorEastAsia" w:cs="宋体" w:hint="eastAsia"/>
          <w:sz w:val="24"/>
        </w:rPr>
        <w:t>2</w:t>
      </w:r>
      <w:r w:rsidRPr="008800D8">
        <w:rPr>
          <w:rFonts w:asciiTheme="minorEastAsia" w:hAnsiTheme="minorEastAsia" w:cs="宋体" w:hint="eastAsia"/>
          <w:sz w:val="24"/>
        </w:rPr>
        <w:t>在服务期内，</w:t>
      </w:r>
      <w:r>
        <w:rPr>
          <w:rFonts w:asciiTheme="minorEastAsia" w:hAnsiTheme="minorEastAsia" w:cs="宋体" w:hint="eastAsia"/>
          <w:sz w:val="24"/>
        </w:rPr>
        <w:t>报价方</w:t>
      </w:r>
      <w:r w:rsidRPr="008800D8">
        <w:rPr>
          <w:rFonts w:asciiTheme="minorEastAsia" w:hAnsiTheme="minorEastAsia" w:cs="宋体" w:hint="eastAsia"/>
          <w:sz w:val="24"/>
        </w:rPr>
        <w:t>应确保系统的正常使用。在接到用户服务要求后应立即做出回应，并在承诺的服务时间内实施服务。</w:t>
      </w:r>
    </w:p>
    <w:p w:rsidR="008800D8" w:rsidRPr="008800D8" w:rsidRDefault="008800D8" w:rsidP="008800D8">
      <w:pPr>
        <w:spacing w:line="360" w:lineRule="auto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ab/>
        <w:t>1</w:t>
      </w:r>
      <w:r w:rsidRPr="008800D8">
        <w:rPr>
          <w:rFonts w:asciiTheme="minorEastAsia" w:hAnsiTheme="minorEastAsia" w:cs="宋体" w:hint="eastAsia"/>
          <w:sz w:val="24"/>
        </w:rPr>
        <w:t>.</w:t>
      </w:r>
      <w:r>
        <w:rPr>
          <w:rFonts w:asciiTheme="minorEastAsia" w:hAnsiTheme="minorEastAsia" w:cs="宋体" w:hint="eastAsia"/>
          <w:sz w:val="24"/>
        </w:rPr>
        <w:t>3</w:t>
      </w:r>
      <w:r w:rsidRPr="008800D8">
        <w:rPr>
          <w:rFonts w:asciiTheme="minorEastAsia" w:hAnsiTheme="minorEastAsia" w:cs="宋体" w:hint="eastAsia"/>
          <w:sz w:val="24"/>
        </w:rPr>
        <w:t xml:space="preserve"> 7×24小时的免费上门保修服务</w:t>
      </w:r>
      <w:r>
        <w:rPr>
          <w:rFonts w:asciiTheme="minorEastAsia" w:hAnsiTheme="minorEastAsia" w:cs="宋体" w:hint="eastAsia"/>
          <w:sz w:val="24"/>
        </w:rPr>
        <w:t>，</w:t>
      </w:r>
      <w:r w:rsidRPr="008800D8">
        <w:rPr>
          <w:rFonts w:asciiTheme="minorEastAsia" w:hAnsiTheme="minorEastAsia" w:cs="宋体" w:hint="eastAsia"/>
          <w:sz w:val="24"/>
        </w:rPr>
        <w:t>半小时内响应，4小时内到达现场，24小时内解决故障。</w:t>
      </w:r>
    </w:p>
    <w:p w:rsidR="008800D8" w:rsidRPr="008800D8" w:rsidRDefault="008800D8" w:rsidP="008800D8">
      <w:pPr>
        <w:spacing w:line="360" w:lineRule="auto"/>
        <w:ind w:firstLineChars="200" w:firstLine="480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1,4</w:t>
      </w:r>
      <w:r w:rsidRPr="008800D8">
        <w:rPr>
          <w:rFonts w:asciiTheme="minorEastAsia" w:hAnsiTheme="minorEastAsia" w:cs="宋体" w:hint="eastAsia"/>
          <w:sz w:val="24"/>
        </w:rPr>
        <w:t>热线电话服务提供技术咨询、故障诊断、故障排除、以及现场支持等具体的技术支持工作，并对客户投诉做出相应处理。</w:t>
      </w:r>
    </w:p>
    <w:p w:rsidR="008800D8" w:rsidRPr="008800D8" w:rsidRDefault="008800D8" w:rsidP="008800D8">
      <w:pPr>
        <w:spacing w:line="360" w:lineRule="auto"/>
        <w:ind w:firstLineChars="200" w:firstLine="480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1</w:t>
      </w:r>
      <w:r w:rsidRPr="008800D8">
        <w:rPr>
          <w:rFonts w:asciiTheme="minorEastAsia" w:hAnsiTheme="minorEastAsia" w:cs="宋体" w:hint="eastAsia"/>
          <w:sz w:val="24"/>
        </w:rPr>
        <w:t>.</w:t>
      </w:r>
      <w:r>
        <w:rPr>
          <w:rFonts w:asciiTheme="minorEastAsia" w:hAnsiTheme="minorEastAsia" w:cs="宋体" w:hint="eastAsia"/>
          <w:sz w:val="24"/>
        </w:rPr>
        <w:t>5</w:t>
      </w:r>
      <w:r w:rsidRPr="008800D8">
        <w:rPr>
          <w:rFonts w:asciiTheme="minorEastAsia" w:hAnsiTheme="minorEastAsia" w:cs="宋体" w:hint="eastAsia"/>
          <w:sz w:val="24"/>
        </w:rPr>
        <w:t>定期巡检与调优系统，确保系统始终处于高效率运行状态。</w:t>
      </w:r>
    </w:p>
    <w:p w:rsidR="008800D8" w:rsidRDefault="008800D8" w:rsidP="008800D8">
      <w:pPr>
        <w:spacing w:line="360" w:lineRule="auto"/>
        <w:ind w:firstLineChars="200" w:firstLine="480"/>
        <w:rPr>
          <w:rFonts w:asciiTheme="minorEastAsia" w:hAnsiTheme="minorEastAsia" w:cs="宋体"/>
          <w:sz w:val="24"/>
        </w:rPr>
      </w:pPr>
    </w:p>
    <w:p w:rsidR="008800D8" w:rsidRPr="008800D8" w:rsidRDefault="008800D8" w:rsidP="008800D8">
      <w:pPr>
        <w:spacing w:line="360" w:lineRule="auto"/>
        <w:ind w:firstLineChars="200" w:firstLine="480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lastRenderedPageBreak/>
        <w:t>2</w:t>
      </w:r>
      <w:r w:rsidRPr="008800D8">
        <w:rPr>
          <w:rFonts w:asciiTheme="minorEastAsia" w:hAnsiTheme="minorEastAsia" w:cs="宋体" w:hint="eastAsia"/>
          <w:sz w:val="24"/>
        </w:rPr>
        <w:t>、培训</w:t>
      </w:r>
    </w:p>
    <w:p w:rsidR="008800D8" w:rsidRPr="008800D8" w:rsidRDefault="008800D8" w:rsidP="008800D8">
      <w:pPr>
        <w:spacing w:line="360" w:lineRule="auto"/>
        <w:ind w:firstLineChars="200" w:firstLine="480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2</w:t>
      </w:r>
      <w:r w:rsidRPr="008800D8">
        <w:rPr>
          <w:rFonts w:asciiTheme="minorEastAsia" w:hAnsiTheme="minorEastAsia" w:cs="宋体" w:hint="eastAsia"/>
          <w:sz w:val="24"/>
        </w:rPr>
        <w:t>.1培训：</w:t>
      </w:r>
      <w:r>
        <w:rPr>
          <w:rFonts w:asciiTheme="minorEastAsia" w:hAnsiTheme="minorEastAsia" w:cs="宋体" w:hint="eastAsia"/>
          <w:sz w:val="24"/>
        </w:rPr>
        <w:t>报价方</w:t>
      </w:r>
      <w:r w:rsidRPr="008800D8">
        <w:rPr>
          <w:rFonts w:asciiTheme="minorEastAsia" w:hAnsiTheme="minorEastAsia" w:cs="宋体" w:hint="eastAsia"/>
          <w:sz w:val="24"/>
        </w:rPr>
        <w:t>应制定详细的培训计划，对使用人员进行操作及相关技术培训。</w:t>
      </w:r>
      <w:r>
        <w:rPr>
          <w:rFonts w:asciiTheme="minorEastAsia" w:hAnsiTheme="minorEastAsia" w:cs="宋体" w:hint="eastAsia"/>
          <w:sz w:val="24"/>
        </w:rPr>
        <w:t>报价方</w:t>
      </w:r>
      <w:r w:rsidRPr="008800D8">
        <w:rPr>
          <w:rFonts w:asciiTheme="minorEastAsia" w:hAnsiTheme="minorEastAsia" w:cs="宋体" w:hint="eastAsia"/>
          <w:sz w:val="24"/>
        </w:rPr>
        <w:t>负责用户的现场技术培训，使用户达到能独立进行管理、维护测试和故障处理等工作。</w:t>
      </w:r>
    </w:p>
    <w:p w:rsidR="008800D8" w:rsidRPr="008800D8" w:rsidRDefault="008800D8" w:rsidP="008800D8">
      <w:pPr>
        <w:spacing w:line="360" w:lineRule="auto"/>
        <w:ind w:firstLineChars="200" w:firstLine="480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2</w:t>
      </w:r>
      <w:r w:rsidRPr="008800D8">
        <w:rPr>
          <w:rFonts w:asciiTheme="minorEastAsia" w:hAnsiTheme="minorEastAsia" w:cs="宋体" w:hint="eastAsia"/>
          <w:sz w:val="24"/>
        </w:rPr>
        <w:t>.2所有的培训费用必须计入总价。</w:t>
      </w:r>
    </w:p>
    <w:p w:rsidR="008800D8" w:rsidRPr="008800D8" w:rsidRDefault="008800D8" w:rsidP="008800D8">
      <w:pPr>
        <w:spacing w:line="360" w:lineRule="auto"/>
        <w:ind w:firstLineChars="200" w:firstLine="480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3</w:t>
      </w:r>
      <w:r w:rsidRPr="008800D8">
        <w:rPr>
          <w:rFonts w:asciiTheme="minorEastAsia" w:hAnsiTheme="minorEastAsia" w:cs="宋体" w:hint="eastAsia"/>
          <w:sz w:val="24"/>
        </w:rPr>
        <w:t>、</w:t>
      </w:r>
      <w:r>
        <w:rPr>
          <w:rFonts w:asciiTheme="minorEastAsia" w:hAnsiTheme="minorEastAsia" w:cs="宋体" w:hint="eastAsia"/>
          <w:sz w:val="24"/>
        </w:rPr>
        <w:t>实施</w:t>
      </w:r>
      <w:r w:rsidRPr="008800D8">
        <w:rPr>
          <w:rFonts w:asciiTheme="minorEastAsia" w:hAnsiTheme="minorEastAsia" w:cs="宋体" w:hint="eastAsia"/>
          <w:sz w:val="24"/>
        </w:rPr>
        <w:t>调试</w:t>
      </w:r>
    </w:p>
    <w:p w:rsidR="008800D8" w:rsidRPr="008800D8" w:rsidRDefault="008800D8" w:rsidP="008800D8">
      <w:pPr>
        <w:spacing w:line="360" w:lineRule="auto"/>
        <w:ind w:firstLineChars="200" w:firstLine="480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3</w:t>
      </w:r>
      <w:r w:rsidRPr="008800D8">
        <w:rPr>
          <w:rFonts w:asciiTheme="minorEastAsia" w:hAnsiTheme="minorEastAsia" w:cs="宋体" w:hint="eastAsia"/>
          <w:sz w:val="24"/>
        </w:rPr>
        <w:t>.1</w:t>
      </w:r>
      <w:r>
        <w:rPr>
          <w:rFonts w:asciiTheme="minorEastAsia" w:hAnsiTheme="minorEastAsia" w:cs="宋体" w:hint="eastAsia"/>
          <w:sz w:val="24"/>
        </w:rPr>
        <w:t>实施</w:t>
      </w:r>
      <w:r w:rsidRPr="008800D8">
        <w:rPr>
          <w:rFonts w:asciiTheme="minorEastAsia" w:hAnsiTheme="minorEastAsia" w:cs="宋体" w:hint="eastAsia"/>
          <w:sz w:val="24"/>
        </w:rPr>
        <w:t>地点：医院指定地点。</w:t>
      </w:r>
    </w:p>
    <w:p w:rsidR="008800D8" w:rsidRPr="008800D8" w:rsidRDefault="008800D8" w:rsidP="008800D8">
      <w:pPr>
        <w:spacing w:line="360" w:lineRule="auto"/>
        <w:ind w:firstLineChars="200" w:firstLine="480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3</w:t>
      </w:r>
      <w:r w:rsidRPr="008800D8">
        <w:rPr>
          <w:rFonts w:asciiTheme="minorEastAsia" w:hAnsiTheme="minorEastAsia" w:cs="宋体" w:hint="eastAsia"/>
          <w:sz w:val="24"/>
        </w:rPr>
        <w:t>.2实施周期：合同签订后1个月内</w:t>
      </w:r>
      <w:r>
        <w:rPr>
          <w:rFonts w:asciiTheme="minorEastAsia" w:hAnsiTheme="minorEastAsia" w:cs="宋体" w:hint="eastAsia"/>
          <w:sz w:val="24"/>
        </w:rPr>
        <w:t>。</w:t>
      </w:r>
    </w:p>
    <w:p w:rsidR="008800D8" w:rsidRPr="008800D8" w:rsidRDefault="008800D8" w:rsidP="008800D8">
      <w:pPr>
        <w:spacing w:line="360" w:lineRule="auto"/>
        <w:ind w:firstLineChars="200" w:firstLine="480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3</w:t>
      </w:r>
      <w:r w:rsidRPr="008800D8">
        <w:rPr>
          <w:rFonts w:asciiTheme="minorEastAsia" w:hAnsiTheme="minorEastAsia" w:cs="宋体" w:hint="eastAsia"/>
          <w:sz w:val="24"/>
        </w:rPr>
        <w:t>.4实施过程中发生的费用</w:t>
      </w:r>
      <w:r>
        <w:rPr>
          <w:rFonts w:asciiTheme="minorEastAsia" w:hAnsiTheme="minorEastAsia" w:cs="宋体" w:hint="eastAsia"/>
          <w:sz w:val="24"/>
        </w:rPr>
        <w:t>（含所有第三方系统的接口）</w:t>
      </w:r>
      <w:r w:rsidRPr="008800D8">
        <w:rPr>
          <w:rFonts w:asciiTheme="minorEastAsia" w:hAnsiTheme="minorEastAsia" w:cs="宋体" w:hint="eastAsia"/>
          <w:sz w:val="24"/>
        </w:rPr>
        <w:t>由</w:t>
      </w:r>
      <w:r>
        <w:rPr>
          <w:rFonts w:asciiTheme="minorEastAsia" w:hAnsiTheme="minorEastAsia" w:cs="宋体" w:hint="eastAsia"/>
          <w:sz w:val="24"/>
        </w:rPr>
        <w:t>报价方</w:t>
      </w:r>
      <w:r w:rsidRPr="008800D8">
        <w:rPr>
          <w:rFonts w:asciiTheme="minorEastAsia" w:hAnsiTheme="minorEastAsia" w:cs="宋体" w:hint="eastAsia"/>
          <w:sz w:val="24"/>
        </w:rPr>
        <w:t>负责。</w:t>
      </w:r>
    </w:p>
    <w:p w:rsidR="008800D8" w:rsidRPr="008800D8" w:rsidRDefault="008800D8" w:rsidP="008800D8">
      <w:pPr>
        <w:spacing w:line="360" w:lineRule="auto"/>
        <w:ind w:firstLineChars="200" w:firstLine="480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4</w:t>
      </w:r>
      <w:r w:rsidRPr="008800D8">
        <w:rPr>
          <w:rFonts w:asciiTheme="minorEastAsia" w:hAnsiTheme="minorEastAsia" w:cs="宋体" w:hint="eastAsia"/>
          <w:sz w:val="24"/>
        </w:rPr>
        <w:t>、报价方式</w:t>
      </w:r>
    </w:p>
    <w:p w:rsidR="008800D8" w:rsidRPr="008800D8" w:rsidRDefault="008800D8" w:rsidP="008800D8">
      <w:pPr>
        <w:spacing w:line="360" w:lineRule="auto"/>
        <w:ind w:firstLine="480"/>
        <w:rPr>
          <w:rFonts w:asciiTheme="minorEastAsia" w:hAnsiTheme="minorEastAsia"/>
          <w:kern w:val="0"/>
          <w:sz w:val="24"/>
        </w:rPr>
      </w:pPr>
      <w:r w:rsidRPr="008800D8">
        <w:rPr>
          <w:rFonts w:asciiTheme="minorEastAsia" w:hAnsiTheme="minorEastAsia" w:cs="宋体" w:hint="eastAsia"/>
          <w:sz w:val="24"/>
        </w:rPr>
        <w:t>所有报价为到医院人民币价（含一切税费、安装调试等伴随服务费）。</w:t>
      </w:r>
    </w:p>
    <w:p w:rsidR="008800D8" w:rsidRPr="008800D8" w:rsidRDefault="008800D8">
      <w:pPr>
        <w:rPr>
          <w:rFonts w:asciiTheme="minorEastAsia" w:hAnsiTheme="minorEastAsia"/>
          <w:sz w:val="24"/>
        </w:rPr>
      </w:pPr>
    </w:p>
    <w:sectPr w:rsidR="008800D8" w:rsidRPr="008800D8" w:rsidSect="000E4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8A8" w:rsidRDefault="00E748A8" w:rsidP="001548A6">
      <w:r>
        <w:separator/>
      </w:r>
    </w:p>
  </w:endnote>
  <w:endnote w:type="continuationSeparator" w:id="1">
    <w:p w:rsidR="00E748A8" w:rsidRDefault="00E748A8" w:rsidP="00154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8A8" w:rsidRDefault="00E748A8" w:rsidP="001548A6">
      <w:r>
        <w:separator/>
      </w:r>
    </w:p>
  </w:footnote>
  <w:footnote w:type="continuationSeparator" w:id="1">
    <w:p w:rsidR="00E748A8" w:rsidRDefault="00E748A8" w:rsidP="001548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C12971"/>
    <w:multiLevelType w:val="multilevel"/>
    <w:tmpl w:val="9FC12971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37126AB9"/>
    <w:multiLevelType w:val="multilevel"/>
    <w:tmpl w:val="37126AB9"/>
    <w:lvl w:ilvl="0">
      <w:start w:val="1"/>
      <w:numFmt w:val="decimal"/>
      <w:lvlText w:val="%1)"/>
      <w:lvlJc w:val="left"/>
      <w:pPr>
        <w:ind w:left="440" w:hanging="44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7E8D6481"/>
    <w:multiLevelType w:val="singleLevel"/>
    <w:tmpl w:val="7E8D6481"/>
    <w:lvl w:ilvl="0">
      <w:start w:val="1"/>
      <w:numFmt w:val="decimal"/>
      <w:suff w:val="space"/>
      <w:lvlText w:val="%1)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mVlYzZiYWExYmE4MTQ3YTBjMzQ0ODZiZWMwZTI5YTUifQ=="/>
  </w:docVars>
  <w:rsids>
    <w:rsidRoot w:val="000E40F7"/>
    <w:rsid w:val="000E40F7"/>
    <w:rsid w:val="001548A6"/>
    <w:rsid w:val="00686596"/>
    <w:rsid w:val="006D1DF9"/>
    <w:rsid w:val="007327B6"/>
    <w:rsid w:val="00776447"/>
    <w:rsid w:val="008800D8"/>
    <w:rsid w:val="00B80735"/>
    <w:rsid w:val="00E748A8"/>
    <w:rsid w:val="432B6836"/>
    <w:rsid w:val="61005ED3"/>
    <w:rsid w:val="668B4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40F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0E40F7"/>
    <w:pPr>
      <w:keepNext/>
      <w:keepLines/>
      <w:numPr>
        <w:numId w:val="1"/>
      </w:numPr>
      <w:spacing w:line="360" w:lineRule="auto"/>
      <w:outlineLvl w:val="0"/>
    </w:pPr>
    <w:rPr>
      <w:rFonts w:ascii="Times New Roman" w:eastAsia="宋体" w:hAnsi="Times New Roman" w:cs="Times New Roman"/>
      <w:b/>
      <w:kern w:val="44"/>
      <w:sz w:val="32"/>
    </w:rPr>
  </w:style>
  <w:style w:type="paragraph" w:styleId="2">
    <w:name w:val="heading 2"/>
    <w:basedOn w:val="a"/>
    <w:next w:val="a"/>
    <w:semiHidden/>
    <w:unhideWhenUsed/>
    <w:qFormat/>
    <w:rsid w:val="000E40F7"/>
    <w:pPr>
      <w:keepNext/>
      <w:keepLines/>
      <w:numPr>
        <w:ilvl w:val="1"/>
        <w:numId w:val="1"/>
      </w:numPr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semiHidden/>
    <w:unhideWhenUsed/>
    <w:qFormat/>
    <w:rsid w:val="000E40F7"/>
    <w:pPr>
      <w:keepNext/>
      <w:keepLines/>
      <w:numPr>
        <w:ilvl w:val="2"/>
        <w:numId w:val="1"/>
      </w:numPr>
      <w:spacing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semiHidden/>
    <w:unhideWhenUsed/>
    <w:qFormat/>
    <w:rsid w:val="000E40F7"/>
    <w:pPr>
      <w:keepNext/>
      <w:keepLines/>
      <w:numPr>
        <w:ilvl w:val="3"/>
        <w:numId w:val="1"/>
      </w:numPr>
      <w:spacing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rsid w:val="000E40F7"/>
    <w:pPr>
      <w:keepNext/>
      <w:keepLines/>
      <w:numPr>
        <w:ilvl w:val="4"/>
        <w:numId w:val="1"/>
      </w:numPr>
      <w:spacing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rsid w:val="000E40F7"/>
    <w:pPr>
      <w:keepNext/>
      <w:keepLines/>
      <w:numPr>
        <w:ilvl w:val="5"/>
        <w:numId w:val="1"/>
      </w:numPr>
      <w:spacing w:line="360" w:lineRule="auto"/>
      <w:outlineLvl w:val="5"/>
    </w:pPr>
    <w:rPr>
      <w:rFonts w:ascii="Arial" w:eastAsia="宋体" w:hAnsi="Arial"/>
      <w:b/>
      <w:sz w:val="28"/>
    </w:rPr>
  </w:style>
  <w:style w:type="paragraph" w:styleId="7">
    <w:name w:val="heading 7"/>
    <w:basedOn w:val="a"/>
    <w:next w:val="a"/>
    <w:semiHidden/>
    <w:unhideWhenUsed/>
    <w:qFormat/>
    <w:rsid w:val="000E40F7"/>
    <w:pPr>
      <w:keepNext/>
      <w:keepLines/>
      <w:numPr>
        <w:ilvl w:val="6"/>
        <w:numId w:val="1"/>
      </w:numPr>
      <w:spacing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rsid w:val="000E40F7"/>
    <w:pPr>
      <w:keepNext/>
      <w:keepLines/>
      <w:numPr>
        <w:ilvl w:val="7"/>
        <w:numId w:val="1"/>
      </w:numPr>
      <w:spacing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rsid w:val="000E40F7"/>
    <w:pPr>
      <w:keepNext/>
      <w:keepLines/>
      <w:numPr>
        <w:ilvl w:val="8"/>
        <w:numId w:val="1"/>
      </w:numPr>
      <w:spacing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autoRedefine/>
    <w:uiPriority w:val="34"/>
    <w:qFormat/>
    <w:rsid w:val="000E40F7"/>
    <w:pPr>
      <w:ind w:firstLineChars="200" w:firstLine="420"/>
    </w:pPr>
  </w:style>
  <w:style w:type="paragraph" w:styleId="a4">
    <w:name w:val="header"/>
    <w:basedOn w:val="a"/>
    <w:link w:val="Char"/>
    <w:rsid w:val="001548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548A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1548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548A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1294</Words>
  <Characters>7381</Characters>
  <Application>Microsoft Office Word</Application>
  <DocSecurity>0</DocSecurity>
  <Lines>61</Lines>
  <Paragraphs>17</Paragraphs>
  <ScaleCrop>false</ScaleCrop>
  <Company/>
  <LinksUpToDate>false</LinksUpToDate>
  <CharactersWithSpaces>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lanyue.xu</dc:creator>
  <cp:lastModifiedBy>罗礼超</cp:lastModifiedBy>
  <cp:revision>4</cp:revision>
  <dcterms:created xsi:type="dcterms:W3CDTF">2024-05-22T01:29:00Z</dcterms:created>
  <dcterms:modified xsi:type="dcterms:W3CDTF">2024-09-06T01:18:00Z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8D88C59E4E0D4FB4A414D9C882780A08_12</vt:lpwstr>
  </property>
</Properties>
</file>