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20" w:after="120" w:line="480" w:lineRule="auto"/>
        <w:jc w:val="center"/>
        <w:rPr>
          <w:rFonts w:hint="eastAsia" w:ascii="宋体" w:hAnsi="宋体" w:eastAsia="宋体" w:cs="宋体"/>
          <w:sz w:val="32"/>
          <w:szCs w:val="32"/>
        </w:rPr>
      </w:pPr>
      <w:r>
        <w:rPr>
          <w:rFonts w:hint="eastAsia" w:ascii="宋体" w:hAnsi="宋体" w:eastAsia="宋体" w:cs="宋体"/>
          <w:sz w:val="32"/>
          <w:szCs w:val="32"/>
        </w:rPr>
        <w:t>台州</w:t>
      </w:r>
      <w:bookmarkStart w:id="1" w:name="_GoBack"/>
      <w:bookmarkEnd w:id="1"/>
      <w:r>
        <w:rPr>
          <w:rFonts w:hint="eastAsia" w:ascii="宋体" w:hAnsi="宋体" w:eastAsia="宋体" w:cs="宋体"/>
          <w:sz w:val="32"/>
          <w:szCs w:val="32"/>
        </w:rPr>
        <w:t>市路桥区中医院医疗服务共同体</w:t>
      </w:r>
    </w:p>
    <w:p>
      <w:pPr>
        <w:pStyle w:val="3"/>
        <w:spacing w:before="120" w:after="120" w:line="480" w:lineRule="auto"/>
        <w:jc w:val="center"/>
        <w:rPr>
          <w:rFonts w:hint="eastAsia" w:ascii="宋体" w:hAnsi="宋体" w:eastAsia="宋体" w:cs="宋体"/>
          <w:sz w:val="32"/>
          <w:szCs w:val="32"/>
          <w:lang w:eastAsia="zh-CN"/>
        </w:rPr>
      </w:pPr>
      <w:r>
        <w:rPr>
          <w:rFonts w:hint="eastAsia" w:ascii="宋体" w:hAnsi="宋体" w:eastAsia="宋体" w:cs="宋体"/>
          <w:sz w:val="32"/>
          <w:szCs w:val="32"/>
        </w:rPr>
        <w:t xml:space="preserve"> 火绒安全软件续保采购</w:t>
      </w:r>
      <w:r>
        <w:rPr>
          <w:rFonts w:hint="eastAsia" w:ascii="宋体" w:hAnsi="宋体" w:eastAsia="宋体" w:cs="宋体"/>
          <w:sz w:val="32"/>
          <w:szCs w:val="32"/>
          <w:lang w:eastAsia="zh-CN"/>
        </w:rPr>
        <w:t>技术要求</w:t>
      </w:r>
    </w:p>
    <w:p>
      <w:pPr>
        <w:pStyle w:val="3"/>
        <w:spacing w:before="312" w:beforeLines="100" w:after="312" w:afterLines="100"/>
        <w:rPr>
          <w:rFonts w:hint="eastAsia" w:ascii="宋体" w:hAnsi="宋体" w:eastAsiaTheme="minorEastAsia"/>
          <w:sz w:val="30"/>
          <w:szCs w:val="30"/>
          <w:lang w:eastAsia="zh-CN"/>
        </w:rPr>
      </w:pPr>
      <w:r>
        <w:rPr>
          <w:rFonts w:hint="eastAsia" w:ascii="宋体" w:hAnsi="宋体"/>
          <w:sz w:val="30"/>
          <w:szCs w:val="30"/>
        </w:rPr>
        <w:t>一、</w:t>
      </w:r>
      <w:r>
        <w:rPr>
          <w:rFonts w:hint="eastAsia" w:ascii="宋体" w:hAnsi="宋体"/>
          <w:sz w:val="30"/>
          <w:szCs w:val="30"/>
          <w:lang w:eastAsia="zh-CN"/>
        </w:rPr>
        <w:t>采购内容</w:t>
      </w:r>
    </w:p>
    <w:tbl>
      <w:tblPr>
        <w:tblStyle w:val="11"/>
        <w:tblW w:w="886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97"/>
        <w:gridCol w:w="708"/>
        <w:gridCol w:w="709"/>
        <w:gridCol w:w="1418"/>
        <w:gridCol w:w="2693"/>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3" w:type="dxa"/>
            <w:vAlign w:val="center"/>
          </w:tcPr>
          <w:p>
            <w:pPr>
              <w:pStyle w:val="23"/>
              <w:jc w:val="center"/>
              <w:rPr>
                <w:rFonts w:hAnsi="宋体"/>
                <w:spacing w:val="-4"/>
                <w:sz w:val="24"/>
              </w:rPr>
            </w:pPr>
            <w:r>
              <w:rPr>
                <w:rFonts w:hAnsi="宋体"/>
                <w:spacing w:val="-4"/>
                <w:sz w:val="24"/>
              </w:rPr>
              <w:t>标项号</w:t>
            </w:r>
          </w:p>
        </w:tc>
        <w:tc>
          <w:tcPr>
            <w:tcW w:w="1497" w:type="dxa"/>
            <w:vAlign w:val="center"/>
          </w:tcPr>
          <w:p>
            <w:pPr>
              <w:pStyle w:val="23"/>
              <w:jc w:val="center"/>
              <w:rPr>
                <w:rFonts w:hAnsi="宋体"/>
                <w:spacing w:val="-4"/>
                <w:sz w:val="24"/>
              </w:rPr>
            </w:pPr>
            <w:r>
              <w:rPr>
                <w:rFonts w:hAnsi="宋体"/>
                <w:spacing w:val="-4"/>
                <w:sz w:val="24"/>
              </w:rPr>
              <w:t>标项内容</w:t>
            </w:r>
          </w:p>
        </w:tc>
        <w:tc>
          <w:tcPr>
            <w:tcW w:w="708" w:type="dxa"/>
            <w:vAlign w:val="center"/>
          </w:tcPr>
          <w:p>
            <w:pPr>
              <w:pStyle w:val="23"/>
              <w:jc w:val="center"/>
              <w:rPr>
                <w:rFonts w:hAnsi="宋体"/>
                <w:spacing w:val="-4"/>
                <w:sz w:val="24"/>
              </w:rPr>
            </w:pPr>
            <w:r>
              <w:rPr>
                <w:rFonts w:hAnsi="宋体"/>
                <w:spacing w:val="-4"/>
                <w:sz w:val="24"/>
              </w:rPr>
              <w:t>数量</w:t>
            </w:r>
          </w:p>
        </w:tc>
        <w:tc>
          <w:tcPr>
            <w:tcW w:w="709" w:type="dxa"/>
            <w:vAlign w:val="center"/>
          </w:tcPr>
          <w:p>
            <w:pPr>
              <w:pStyle w:val="23"/>
              <w:jc w:val="center"/>
              <w:rPr>
                <w:rFonts w:hAnsi="宋体"/>
                <w:spacing w:val="-4"/>
                <w:sz w:val="24"/>
              </w:rPr>
            </w:pPr>
            <w:r>
              <w:rPr>
                <w:rFonts w:hAnsi="宋体"/>
                <w:spacing w:val="-4"/>
                <w:sz w:val="24"/>
              </w:rPr>
              <w:t>单位</w:t>
            </w:r>
          </w:p>
        </w:tc>
        <w:tc>
          <w:tcPr>
            <w:tcW w:w="1418" w:type="dxa"/>
            <w:vAlign w:val="center"/>
          </w:tcPr>
          <w:p>
            <w:pPr>
              <w:pStyle w:val="23"/>
              <w:jc w:val="center"/>
              <w:rPr>
                <w:rFonts w:hAnsi="宋体"/>
                <w:spacing w:val="-4"/>
                <w:sz w:val="24"/>
              </w:rPr>
            </w:pPr>
            <w:r>
              <w:rPr>
                <w:rFonts w:hAnsi="宋体"/>
                <w:spacing w:val="-4"/>
                <w:sz w:val="24"/>
              </w:rPr>
              <w:t>预算金额</w:t>
            </w:r>
          </w:p>
          <w:p>
            <w:pPr>
              <w:pStyle w:val="23"/>
              <w:jc w:val="center"/>
              <w:rPr>
                <w:rFonts w:hAnsi="宋体"/>
                <w:spacing w:val="-4"/>
                <w:sz w:val="24"/>
              </w:rPr>
            </w:pPr>
            <w:r>
              <w:rPr>
                <w:rFonts w:hAnsi="宋体"/>
                <w:spacing w:val="-4"/>
                <w:sz w:val="24"/>
              </w:rPr>
              <w:t>（万元）</w:t>
            </w:r>
          </w:p>
        </w:tc>
        <w:tc>
          <w:tcPr>
            <w:tcW w:w="2693" w:type="dxa"/>
            <w:vAlign w:val="center"/>
          </w:tcPr>
          <w:p>
            <w:pPr>
              <w:pStyle w:val="23"/>
              <w:jc w:val="center"/>
              <w:rPr>
                <w:rFonts w:hAnsi="宋体"/>
                <w:spacing w:val="-4"/>
                <w:sz w:val="24"/>
              </w:rPr>
            </w:pPr>
            <w:r>
              <w:rPr>
                <w:rFonts w:hAnsi="宋体"/>
                <w:spacing w:val="-4"/>
                <w:sz w:val="24"/>
              </w:rPr>
              <w:t>简要技术</w:t>
            </w:r>
          </w:p>
          <w:p>
            <w:pPr>
              <w:pStyle w:val="23"/>
              <w:jc w:val="center"/>
              <w:rPr>
                <w:rFonts w:hAnsi="宋体"/>
                <w:spacing w:val="-4"/>
                <w:sz w:val="24"/>
              </w:rPr>
            </w:pPr>
            <w:r>
              <w:rPr>
                <w:rFonts w:hAnsi="宋体"/>
                <w:spacing w:val="-4"/>
                <w:sz w:val="24"/>
              </w:rPr>
              <w:t>要求、用途</w:t>
            </w:r>
          </w:p>
        </w:tc>
        <w:tc>
          <w:tcPr>
            <w:tcW w:w="850" w:type="dxa"/>
            <w:vAlign w:val="center"/>
          </w:tcPr>
          <w:p>
            <w:pPr>
              <w:pStyle w:val="23"/>
              <w:jc w:val="center"/>
              <w:rPr>
                <w:rFonts w:hAnsi="宋体"/>
                <w:spacing w:val="-4"/>
                <w:sz w:val="24"/>
              </w:rPr>
            </w:pPr>
            <w:r>
              <w:rPr>
                <w:rFonts w:hAnsi="宋体"/>
                <w:spacing w:val="-4"/>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1</w:t>
            </w:r>
          </w:p>
        </w:tc>
        <w:tc>
          <w:tcPr>
            <w:tcW w:w="1497" w:type="dxa"/>
            <w:vAlign w:val="center"/>
          </w:tcPr>
          <w:p>
            <w:pPr>
              <w:pStyle w:val="23"/>
              <w:jc w:val="center"/>
              <w:rPr>
                <w:rFonts w:hAnsi="宋体"/>
                <w:spacing w:val="-4"/>
                <w:sz w:val="24"/>
              </w:rPr>
            </w:pPr>
            <w:r>
              <w:rPr>
                <w:rFonts w:hAnsi="宋体"/>
                <w:spacing w:val="-4"/>
                <w:sz w:val="24"/>
              </w:rPr>
              <w:t>火绒</w:t>
            </w:r>
            <w:r>
              <w:rPr>
                <w:rFonts w:hint="eastAsia" w:hAnsi="宋体"/>
                <w:spacing w:val="-4"/>
                <w:sz w:val="24"/>
                <w:lang w:eastAsia="zh-CN"/>
              </w:rPr>
              <w:t>防病毒</w:t>
            </w:r>
            <w:r>
              <w:rPr>
                <w:rFonts w:hAnsi="宋体"/>
                <w:spacing w:val="-4"/>
                <w:sz w:val="24"/>
              </w:rPr>
              <w:t>软件续保</w:t>
            </w:r>
          </w:p>
        </w:tc>
        <w:tc>
          <w:tcPr>
            <w:tcW w:w="708" w:type="dxa"/>
            <w:vAlign w:val="center"/>
          </w:tcPr>
          <w:p>
            <w:pPr>
              <w:pStyle w:val="24"/>
              <w:jc w:val="center"/>
              <w:rPr>
                <w:rFonts w:hAnsi="宋体"/>
                <w:spacing w:val="-4"/>
                <w:sz w:val="24"/>
              </w:rPr>
            </w:pPr>
            <w:r>
              <w:rPr>
                <w:rFonts w:hAnsi="宋体"/>
                <w:spacing w:val="-4"/>
                <w:sz w:val="24"/>
              </w:rPr>
              <w:t>1</w:t>
            </w:r>
          </w:p>
        </w:tc>
        <w:tc>
          <w:tcPr>
            <w:tcW w:w="709" w:type="dxa"/>
            <w:vAlign w:val="center"/>
          </w:tcPr>
          <w:p>
            <w:pPr>
              <w:jc w:val="center"/>
              <w:rPr>
                <w:rFonts w:hint="eastAsia" w:ascii="宋体" w:hAnsi="宋体"/>
                <w:spacing w:val="-4"/>
                <w:sz w:val="24"/>
                <w:szCs w:val="20"/>
              </w:rPr>
            </w:pPr>
            <w:r>
              <w:rPr>
                <w:rFonts w:hint="eastAsia" w:ascii="宋体" w:hAnsi="宋体"/>
                <w:spacing w:val="-4"/>
                <w:sz w:val="24"/>
                <w:szCs w:val="20"/>
              </w:rPr>
              <w:t>套</w:t>
            </w:r>
          </w:p>
        </w:tc>
        <w:tc>
          <w:tcPr>
            <w:tcW w:w="1418" w:type="dxa"/>
            <w:vAlign w:val="center"/>
          </w:tcPr>
          <w:p>
            <w:pPr>
              <w:pStyle w:val="24"/>
              <w:jc w:val="center"/>
              <w:rPr>
                <w:rFonts w:hint="default" w:hAnsi="宋体" w:eastAsia="宋体"/>
                <w:spacing w:val="-4"/>
                <w:sz w:val="24"/>
                <w:lang w:val="en-US" w:eastAsia="zh-CN"/>
              </w:rPr>
            </w:pPr>
            <w:r>
              <w:rPr>
                <w:rFonts w:hint="eastAsia" w:hAnsi="宋体"/>
                <w:spacing w:val="-4"/>
                <w:sz w:val="24"/>
                <w:lang w:val="en-US" w:eastAsia="zh-CN"/>
              </w:rPr>
              <w:t>9.9</w:t>
            </w:r>
          </w:p>
        </w:tc>
        <w:tc>
          <w:tcPr>
            <w:tcW w:w="2693" w:type="dxa"/>
            <w:vAlign w:val="center"/>
          </w:tcPr>
          <w:p>
            <w:pPr>
              <w:pStyle w:val="23"/>
              <w:jc w:val="center"/>
              <w:rPr>
                <w:rFonts w:hAnsi="宋体"/>
                <w:spacing w:val="-4"/>
                <w:sz w:val="24"/>
              </w:rPr>
            </w:pPr>
            <w:r>
              <w:rPr>
                <w:rFonts w:hAnsi="宋体"/>
                <w:spacing w:val="-4"/>
                <w:sz w:val="24"/>
              </w:rPr>
              <w:t>火绒</w:t>
            </w:r>
            <w:r>
              <w:rPr>
                <w:rFonts w:hint="eastAsia" w:hAnsi="宋体"/>
                <w:spacing w:val="-4"/>
                <w:sz w:val="24"/>
                <w:lang w:eastAsia="zh-CN"/>
              </w:rPr>
              <w:t>防病毒</w:t>
            </w:r>
            <w:r>
              <w:rPr>
                <w:rFonts w:hAnsi="宋体"/>
                <w:spacing w:val="-4"/>
                <w:sz w:val="24"/>
              </w:rPr>
              <w:t>软件续保</w:t>
            </w:r>
          </w:p>
        </w:tc>
        <w:tc>
          <w:tcPr>
            <w:tcW w:w="850" w:type="dxa"/>
            <w:vAlign w:val="center"/>
          </w:tcPr>
          <w:p>
            <w:pPr>
              <w:pStyle w:val="23"/>
              <w:widowControl w:val="0"/>
              <w:jc w:val="center"/>
              <w:rPr>
                <w:rFonts w:hAnsi="宋体"/>
                <w:spacing w:val="-4"/>
                <w:sz w:val="24"/>
              </w:rPr>
            </w:pPr>
            <w:r>
              <w:rPr>
                <w:rFonts w:hAnsi="宋体"/>
                <w:spacing w:val="-4"/>
                <w:sz w:val="24"/>
              </w:rPr>
              <w:t>/</w:t>
            </w:r>
          </w:p>
        </w:tc>
      </w:tr>
    </w:tbl>
    <w:p>
      <w:pPr>
        <w:pStyle w:val="3"/>
        <w:spacing w:before="312" w:beforeLines="100" w:after="312" w:afterLines="100"/>
        <w:rPr>
          <w:rFonts w:ascii="宋体" w:hAnsi="宋体"/>
          <w:sz w:val="30"/>
          <w:szCs w:val="30"/>
        </w:rPr>
      </w:pPr>
      <w:r>
        <w:rPr>
          <w:rFonts w:hint="eastAsia" w:ascii="宋体" w:hAnsi="宋体"/>
          <w:sz w:val="30"/>
          <w:szCs w:val="30"/>
        </w:rPr>
        <w:t>二、技术要求</w:t>
      </w:r>
    </w:p>
    <w:p>
      <w:pPr>
        <w:spacing w:line="360" w:lineRule="auto"/>
        <w:rPr>
          <w:rFonts w:hint="eastAsia" w:ascii="宋体" w:hAnsi="宋体" w:eastAsia="宋体" w:cs="宋体"/>
          <w:b/>
          <w:color w:val="000000"/>
          <w:sz w:val="24"/>
        </w:rPr>
      </w:pPr>
      <w:r>
        <w:rPr>
          <w:rFonts w:hint="eastAsia" w:ascii="宋体" w:hAnsi="宋体" w:eastAsia="宋体" w:cs="宋体"/>
          <w:b/>
          <w:color w:val="000000"/>
          <w:sz w:val="24"/>
        </w:rPr>
        <w:t>▲所有产品售后服务：提供初次原厂工程师现场安装服务；质保期内提供3年7*24免费软硬件（免上门费、备件费、人工费等相关费用）原厂技术支持与售后服务；为保证原厂服务的有效执行，要求所有产品保修信息均为台州市路桥区中医院医疗服务共同体，合同签订前，提供3年原厂商质保服务承诺函。</w:t>
      </w:r>
    </w:p>
    <w:p>
      <w:pPr>
        <w:spacing w:line="360" w:lineRule="auto"/>
        <w:rPr>
          <w:rFonts w:hint="eastAsia" w:ascii="宋体" w:hAnsi="宋体" w:eastAsia="宋体" w:cs="宋体"/>
          <w:b/>
          <w:color w:val="000000"/>
          <w:sz w:val="24"/>
        </w:rPr>
      </w:pPr>
      <w:r>
        <w:rPr>
          <w:rFonts w:hint="eastAsia" w:ascii="宋体" w:hAnsi="宋体" w:eastAsia="宋体" w:cs="宋体"/>
          <w:b/>
          <w:color w:val="000000"/>
          <w:sz w:val="24"/>
        </w:rPr>
        <w:t>标“▲”项系产品重要指标要求，不允许负偏离；</w:t>
      </w:r>
    </w:p>
    <w:p>
      <w:pPr>
        <w:spacing w:line="360" w:lineRule="auto"/>
        <w:rPr>
          <w:rFonts w:hint="eastAsia" w:ascii="宋体" w:hAnsi="宋体" w:eastAsia="宋体" w:cs="宋体"/>
          <w:b/>
          <w:color w:val="000000"/>
          <w:sz w:val="24"/>
        </w:rPr>
      </w:pPr>
      <w:r>
        <w:rPr>
          <w:rFonts w:hint="eastAsia" w:ascii="宋体" w:hAnsi="宋体" w:eastAsia="宋体" w:cs="宋体"/>
          <w:b/>
          <w:color w:val="000000"/>
          <w:sz w:val="24"/>
        </w:rPr>
        <w:t>标“★”项系产品关键技术指标，提供功能截图并且加盖产品原厂公章，在签订合同前需要提供到医院。</w:t>
      </w:r>
    </w:p>
    <w:p>
      <w:pPr>
        <w:spacing w:line="360" w:lineRule="auto"/>
        <w:rPr>
          <w:rFonts w:ascii="宋体" w:hAnsi="宋体" w:eastAsia="宋体" w:cs="宋体"/>
          <w:b/>
          <w:color w:val="000000"/>
          <w:sz w:val="24"/>
          <w:szCs w:val="24"/>
        </w:rPr>
      </w:pPr>
      <w:bookmarkStart w:id="0" w:name="_Hlk200377362"/>
    </w:p>
    <w:bookmarkEnd w:id="0"/>
    <w:tbl>
      <w:tblPr>
        <w:tblStyle w:val="12"/>
        <w:tblW w:w="959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47"/>
        <w:gridCol w:w="794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tcPr>
          <w:p>
            <w:pPr>
              <w:jc w:val="center"/>
              <w:rPr>
                <w:rFonts w:ascii="宋体" w:hAnsi="宋体" w:eastAsia="宋体" w:cs="宋体"/>
                <w:b/>
                <w:bCs/>
              </w:rPr>
            </w:pPr>
            <w:r>
              <w:rPr>
                <w:rFonts w:hint="eastAsia" w:ascii="宋体" w:hAnsi="宋体" w:eastAsia="宋体" w:cs="宋体"/>
                <w:b/>
                <w:bCs/>
              </w:rPr>
              <w:t>指标项</w:t>
            </w:r>
          </w:p>
        </w:tc>
        <w:tc>
          <w:tcPr>
            <w:tcW w:w="7946" w:type="dxa"/>
          </w:tcPr>
          <w:p>
            <w:pPr>
              <w:jc w:val="center"/>
              <w:rPr>
                <w:rFonts w:ascii="宋体" w:hAnsi="宋体" w:eastAsia="宋体" w:cs="宋体"/>
                <w:b/>
                <w:bCs/>
              </w:rPr>
            </w:pPr>
            <w:r>
              <w:rPr>
                <w:rFonts w:hint="eastAsia" w:ascii="宋体" w:hAnsi="宋体" w:eastAsia="宋体" w:cs="宋体"/>
                <w:b/>
                <w:bCs/>
              </w:rPr>
              <w:t>招标要求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Align w:val="center"/>
          </w:tcPr>
          <w:p>
            <w:pPr>
              <w:jc w:val="center"/>
              <w:rPr>
                <w:rFonts w:ascii="宋体" w:hAnsi="宋体" w:eastAsia="宋体" w:cs="宋体"/>
                <w:b/>
                <w:bCs/>
              </w:rPr>
            </w:pPr>
            <w:r>
              <w:rPr>
                <w:rFonts w:hint="eastAsia" w:ascii="宋体" w:hAnsi="宋体" w:eastAsia="宋体" w:cs="宋体"/>
                <w:b/>
                <w:color w:val="000000"/>
                <w:sz w:val="24"/>
                <w:szCs w:val="24"/>
              </w:rPr>
              <w:t>▲</w:t>
            </w:r>
            <w:r>
              <w:rPr>
                <w:rFonts w:hint="eastAsia" w:ascii="宋体" w:hAnsi="宋体" w:eastAsia="宋体" w:cs="宋体"/>
                <w:b/>
                <w:bCs/>
              </w:rPr>
              <w:t>配置要求</w:t>
            </w:r>
          </w:p>
        </w:tc>
        <w:tc>
          <w:tcPr>
            <w:tcW w:w="7946" w:type="dxa"/>
          </w:tcPr>
          <w:p>
            <w:pPr>
              <w:rPr>
                <w:rFonts w:ascii="宋体" w:hAnsi="宋体" w:eastAsia="宋体" w:cs="宋体"/>
                <w:kern w:val="0"/>
                <w:szCs w:val="21"/>
              </w:rPr>
            </w:pPr>
            <w:r>
              <w:rPr>
                <w:rFonts w:hint="eastAsia" w:ascii="宋体" w:hAnsi="宋体" w:eastAsia="宋体" w:cs="宋体"/>
                <w:b/>
                <w:bCs/>
                <w:szCs w:val="21"/>
              </w:rPr>
              <w:t>2个火绒安全控制中心+600个火绒安全Windows端授权许可</w:t>
            </w:r>
            <w:r>
              <w:rPr>
                <w:rFonts w:hint="eastAsia" w:ascii="宋体" w:hAnsi="宋体" w:eastAsia="宋体" w:cs="宋体"/>
                <w:szCs w:val="21"/>
              </w:rPr>
              <w:t>【Windows端授权许可不分windows 普通PC客户端与服务器端，用户可以自由调整而不产生额外费用，具备病毒查杀、补丁修复、终端动态认证、系统加固、应用加固、勒索病毒诱捕、远程登录保护、横向渗透防护、僵尸网络防护、暴破攻击防护、网络入侵拦截、web服务防护、IP协议控制、联网控制、程序执行控制、网站内容控制、软件捆绑安装拦截、U盘注册、U盘信任、非法外联、时间同步、远程协助等功能，</w:t>
            </w:r>
            <w:r>
              <w:rPr>
                <w:rFonts w:hint="eastAsia" w:ascii="宋体" w:hAnsi="宋体" w:eastAsia="宋体" w:cs="宋体"/>
                <w:b/>
                <w:bCs/>
                <w:szCs w:val="21"/>
              </w:rPr>
              <w:t>要求为产品的全功能模块</w:t>
            </w:r>
            <w:r>
              <w:rPr>
                <w:rFonts w:hint="eastAsia" w:ascii="宋体" w:hAnsi="宋体" w:eastAsia="宋体" w:cs="宋体"/>
                <w:b/>
                <w:bCs/>
                <w:szCs w:val="21"/>
                <w:lang w:eastAsia="zh-CN"/>
              </w:rPr>
              <w:t>提供</w:t>
            </w:r>
            <w:r>
              <w:rPr>
                <w:rFonts w:hint="eastAsia" w:ascii="宋体" w:hAnsi="宋体" w:eastAsia="宋体" w:cs="宋体"/>
                <w:b/>
                <w:bCs/>
                <w:szCs w:val="21"/>
              </w:rPr>
              <w:t>原厂三年程序版本与三年病毒库升级服务。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restart"/>
            <w:vAlign w:val="center"/>
          </w:tcPr>
          <w:p>
            <w:pPr>
              <w:jc w:val="center"/>
              <w:rPr>
                <w:rFonts w:ascii="宋体" w:hAnsi="宋体" w:eastAsia="宋体" w:cs="宋体"/>
                <w:b/>
                <w:bCs/>
              </w:rPr>
            </w:pPr>
            <w:r>
              <w:rPr>
                <w:rFonts w:hint="eastAsia" w:ascii="宋体" w:hAnsi="宋体" w:eastAsia="宋体" w:cs="宋体"/>
                <w:b/>
                <w:bCs/>
              </w:rPr>
              <w:t>资质证明</w:t>
            </w:r>
          </w:p>
        </w:tc>
        <w:tc>
          <w:tcPr>
            <w:tcW w:w="7946" w:type="dxa"/>
          </w:tcPr>
          <w:p>
            <w:pPr>
              <w:rPr>
                <w:rFonts w:hint="eastAsia" w:ascii="宋体" w:hAnsi="宋体" w:eastAsia="宋体" w:cs="宋体"/>
                <w:kern w:val="0"/>
                <w:szCs w:val="21"/>
                <w:lang w:eastAsia="zh-CN"/>
              </w:rPr>
            </w:pPr>
            <w:r>
              <w:rPr>
                <w:rFonts w:hint="eastAsia" w:ascii="宋体" w:hAnsi="宋体" w:eastAsia="宋体" w:cs="宋体"/>
                <w:szCs w:val="21"/>
              </w:rPr>
              <w:t>要求具备</w:t>
            </w:r>
            <w:r>
              <w:rPr>
                <w:rFonts w:hint="eastAsia" w:ascii="宋体" w:hAnsi="宋体" w:eastAsia="宋体" w:cs="微软雅黑"/>
                <w:szCs w:val="21"/>
              </w:rPr>
              <w:t>《网络安全专用产品安全检测证书》</w:t>
            </w:r>
            <w:r>
              <w:rPr>
                <w:rFonts w:hint="eastAsia" w:ascii="宋体" w:hAnsi="宋体" w:eastAsia="宋体" w:cs="微软雅黑"/>
                <w:szCs w:val="21"/>
                <w:lang w:eastAsia="zh-CN"/>
              </w:rPr>
              <w:t>，</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微软雅黑"/>
                <w:b/>
                <w:bCs/>
                <w:szCs w:val="21"/>
                <w:lang w:eastAsia="zh-CN"/>
              </w:rPr>
              <w:t>提供证书复印件。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hint="eastAsia" w:ascii="宋体" w:hAnsi="宋体" w:eastAsia="宋体" w:cs="宋体"/>
                <w:kern w:val="0"/>
                <w:szCs w:val="21"/>
                <w:lang w:eastAsia="zh-CN"/>
              </w:rPr>
            </w:pPr>
            <w:r>
              <w:rPr>
                <w:rFonts w:hint="eastAsia" w:ascii="宋体" w:hAnsi="宋体" w:eastAsia="宋体" w:cs="宋体"/>
                <w:kern w:val="0"/>
                <w:szCs w:val="21"/>
              </w:rPr>
              <w:t>要求产品达到国家计算机病毒应急处理中心增强级检验标准，</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宋体"/>
                <w:b/>
                <w:bCs/>
                <w:kern w:val="0"/>
                <w:szCs w:val="21"/>
              </w:rPr>
              <w:t>提供检测报告复印件</w:t>
            </w:r>
            <w:r>
              <w:rPr>
                <w:rFonts w:hint="eastAsia" w:ascii="宋体" w:hAnsi="宋体" w:eastAsia="宋体" w:cs="宋体"/>
                <w:b/>
                <w:bCs/>
                <w:kern w:val="0"/>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hint="eastAsia" w:ascii="宋体" w:hAnsi="宋体" w:eastAsia="宋体" w:cs="宋体"/>
                <w:kern w:val="0"/>
                <w:szCs w:val="21"/>
                <w:lang w:eastAsia="zh-CN"/>
              </w:rPr>
            </w:pPr>
            <w:r>
              <w:rPr>
                <w:rFonts w:hint="eastAsia" w:ascii="宋体" w:hAnsi="宋体" w:eastAsia="宋体" w:cs="宋体"/>
                <w:kern w:val="0"/>
                <w:szCs w:val="21"/>
              </w:rPr>
              <w:t>要求具备《计算机软件著作权登记证书》，</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宋体"/>
                <w:b/>
                <w:bCs/>
                <w:kern w:val="0"/>
                <w:szCs w:val="21"/>
              </w:rPr>
              <w:t>提供证书复印件</w:t>
            </w:r>
            <w:r>
              <w:rPr>
                <w:rFonts w:hint="eastAsia" w:ascii="宋体" w:hAnsi="宋体" w:eastAsia="宋体" w:cs="宋体"/>
                <w:b/>
                <w:bCs/>
                <w:kern w:val="0"/>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hint="eastAsia" w:ascii="宋体" w:hAnsi="宋体" w:eastAsia="宋体" w:cs="宋体"/>
                <w:szCs w:val="21"/>
                <w:lang w:eastAsia="zh-CN"/>
              </w:rPr>
            </w:pPr>
            <w:r>
              <w:rPr>
                <w:rFonts w:hint="eastAsia" w:ascii="宋体" w:hAnsi="宋体" w:eastAsia="宋体" w:cs="宋体"/>
                <w:szCs w:val="21"/>
              </w:rPr>
              <w:t>★</w:t>
            </w:r>
            <w:r>
              <w:rPr>
                <w:rFonts w:ascii="宋体" w:hAnsi="宋体" w:eastAsia="宋体" w:cs="宋体"/>
                <w:szCs w:val="21"/>
              </w:rPr>
              <w:t>要求</w:t>
            </w:r>
            <w:r>
              <w:rPr>
                <w:rFonts w:hint="eastAsia" w:ascii="宋体" w:hAnsi="宋体" w:eastAsia="宋体" w:cs="宋体"/>
                <w:szCs w:val="21"/>
              </w:rPr>
              <w:t>投标</w:t>
            </w:r>
            <w:r>
              <w:rPr>
                <w:rFonts w:ascii="宋体" w:hAnsi="宋体" w:eastAsia="宋体" w:cs="宋体"/>
                <w:szCs w:val="21"/>
              </w:rPr>
              <w:t>品牌集反病毒、主动防御、防火墙“三合一”，并取得与微软的合作关系证明</w:t>
            </w:r>
            <w:r>
              <w:rPr>
                <w:rFonts w:hint="eastAsia" w:ascii="宋体" w:hAnsi="宋体" w:eastAsia="宋体" w:cs="宋体"/>
                <w:szCs w:val="21"/>
                <w:lang w:eastAsia="zh-CN"/>
              </w:rPr>
              <w:t>，</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宋体"/>
                <w:b/>
                <w:bCs/>
                <w:kern w:val="0"/>
                <w:szCs w:val="21"/>
              </w:rPr>
              <w:t>提供证</w:t>
            </w:r>
            <w:r>
              <w:rPr>
                <w:rFonts w:hint="eastAsia" w:ascii="宋体" w:hAnsi="宋体" w:eastAsia="宋体" w:cs="宋体"/>
                <w:b/>
                <w:bCs/>
                <w:kern w:val="0"/>
                <w:szCs w:val="21"/>
                <w:lang w:eastAsia="zh-CN"/>
              </w:rPr>
              <w:t>明</w:t>
            </w:r>
            <w:r>
              <w:rPr>
                <w:rFonts w:hint="eastAsia" w:ascii="宋体" w:hAnsi="宋体" w:eastAsia="宋体" w:cs="宋体"/>
                <w:b/>
                <w:bCs/>
                <w:kern w:val="0"/>
                <w:szCs w:val="21"/>
              </w:rPr>
              <w:t>复印件</w:t>
            </w:r>
            <w:r>
              <w:rPr>
                <w:rFonts w:hint="eastAsia" w:ascii="宋体" w:hAnsi="宋体" w:eastAsia="宋体" w:cs="宋体"/>
                <w:b/>
                <w:bCs/>
                <w:kern w:val="0"/>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hint="eastAsia" w:ascii="宋体" w:hAnsi="宋体" w:eastAsia="宋体" w:cs="宋体"/>
                <w:szCs w:val="21"/>
                <w:lang w:eastAsia="zh-CN"/>
              </w:rPr>
            </w:pPr>
            <w:r>
              <w:rPr>
                <w:rFonts w:hint="eastAsia" w:ascii="宋体" w:hAnsi="宋体" w:eastAsia="宋体" w:cs="宋体"/>
                <w:szCs w:val="21"/>
                <w:lang w:eastAsia="zh-CN"/>
              </w:rPr>
              <w:t>为响应未来电脑服务器操作系统等国产化信创的需求，</w:t>
            </w:r>
            <w:r>
              <w:rPr>
                <w:rFonts w:hint="eastAsia" w:ascii="宋体" w:hAnsi="宋体" w:eastAsia="宋体" w:cs="宋体"/>
                <w:szCs w:val="21"/>
              </w:rPr>
              <w:t>要求具有与神州网信、麒麟系列等兼容性认证；兼容国产鲲鹏处理器；</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宋体"/>
                <w:b/>
                <w:bCs/>
                <w:szCs w:val="21"/>
              </w:rPr>
              <w:t>提供证明文件复印件</w:t>
            </w:r>
            <w:r>
              <w:rPr>
                <w:rFonts w:hint="eastAsia" w:ascii="宋体" w:hAnsi="宋体" w:eastAsia="宋体" w:cs="宋体"/>
                <w:b/>
                <w:bCs/>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1647" w:type="dxa"/>
            <w:vMerge w:val="restart"/>
            <w:vAlign w:val="center"/>
          </w:tcPr>
          <w:p>
            <w:pPr>
              <w:pStyle w:val="17"/>
              <w:jc w:val="center"/>
              <w:rPr>
                <w:rFonts w:ascii="宋体" w:hAnsi="宋体" w:eastAsia="宋体" w:cs="宋体"/>
                <w:b/>
                <w:bCs/>
                <w:color w:val="auto"/>
              </w:rPr>
            </w:pPr>
            <w:r>
              <w:rPr>
                <w:rFonts w:hint="eastAsia" w:ascii="宋体" w:hAnsi="宋体" w:eastAsia="宋体" w:cs="宋体"/>
                <w:b/>
                <w:bCs/>
                <w:color w:val="auto"/>
                <w:kern w:val="2"/>
                <w:sz w:val="21"/>
                <w:szCs w:val="22"/>
              </w:rPr>
              <w:t>自主可控</w:t>
            </w:r>
          </w:p>
        </w:tc>
        <w:tc>
          <w:tcPr>
            <w:tcW w:w="7946" w:type="dxa"/>
            <w:vAlign w:val="center"/>
          </w:tcPr>
          <w:p>
            <w:pPr>
              <w:pStyle w:val="17"/>
              <w:rPr>
                <w:rFonts w:ascii="宋体" w:hAnsi="宋体" w:eastAsia="宋体" w:cs="宋体"/>
                <w:color w:val="auto"/>
                <w:sz w:val="21"/>
                <w:szCs w:val="21"/>
              </w:rPr>
            </w:pPr>
            <w:r>
              <w:rPr>
                <w:rFonts w:hint="eastAsia" w:ascii="宋体" w:hAnsi="宋体" w:eastAsia="宋体" w:cs="微软雅黑"/>
                <w:color w:val="auto"/>
                <w:sz w:val="21"/>
                <w:szCs w:val="21"/>
              </w:rPr>
              <w:t>为保障产品安全性和可控性，符合《网络安全审查办法》的规定，投标产品须为国内厂家自主研发的产品，不接受OEM产品, 包括产品中的不得采用第三方公司的杀毒引擎，因OEM引擎需要在外层再次封装,以符合自身产品的需求，增加成本降低效率，无法精细地调整配置，产品效率低、资源占用高；同时存在不合作而断供的隐患。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pStyle w:val="17"/>
              <w:rPr>
                <w:rFonts w:ascii="宋体" w:hAnsi="宋体" w:eastAsia="宋体" w:cs="宋体"/>
                <w:b/>
                <w:bCs/>
                <w:color w:val="auto"/>
              </w:rPr>
            </w:pPr>
          </w:p>
        </w:tc>
        <w:tc>
          <w:tcPr>
            <w:tcW w:w="7946" w:type="dxa"/>
            <w:vAlign w:val="center"/>
          </w:tcPr>
          <w:p>
            <w:pPr>
              <w:pStyle w:val="17"/>
              <w:rPr>
                <w:rFonts w:ascii="宋体" w:hAnsi="宋体" w:eastAsia="宋体" w:cs="宋体"/>
                <w:color w:val="auto"/>
                <w:sz w:val="21"/>
                <w:szCs w:val="21"/>
              </w:rPr>
            </w:pPr>
            <w:r>
              <w:rPr>
                <w:rFonts w:hint="eastAsia" w:ascii="宋体" w:hAnsi="宋体" w:eastAsia="宋体" w:cs="微软雅黑"/>
                <w:color w:val="auto"/>
                <w:sz w:val="21"/>
                <w:szCs w:val="21"/>
              </w:rPr>
              <w:t>★其</w:t>
            </w:r>
            <w:r>
              <w:rPr>
                <w:rFonts w:ascii="宋体" w:hAnsi="宋体" w:eastAsia="宋体" w:cs="微软雅黑"/>
                <w:color w:val="auto"/>
                <w:sz w:val="21"/>
                <w:szCs w:val="21"/>
              </w:rPr>
              <w:t>自主研发</w:t>
            </w:r>
            <w:r>
              <w:rPr>
                <w:rFonts w:hint="eastAsia" w:ascii="宋体" w:hAnsi="宋体" w:eastAsia="宋体" w:cs="微软雅黑"/>
                <w:color w:val="auto"/>
                <w:sz w:val="21"/>
                <w:szCs w:val="21"/>
              </w:rPr>
              <w:t>恶意代码</w:t>
            </w:r>
            <w:r>
              <w:rPr>
                <w:rFonts w:ascii="宋体" w:hAnsi="宋体" w:eastAsia="宋体" w:cs="微软雅黑"/>
                <w:color w:val="auto"/>
                <w:sz w:val="21"/>
                <w:szCs w:val="21"/>
              </w:rPr>
              <w:t>检测</w:t>
            </w:r>
            <w:r>
              <w:rPr>
                <w:rFonts w:hint="eastAsia" w:ascii="宋体" w:hAnsi="宋体" w:eastAsia="宋体" w:cs="微软雅黑"/>
                <w:color w:val="auto"/>
                <w:sz w:val="21"/>
                <w:szCs w:val="21"/>
              </w:rPr>
              <w:t>引擎为五家或以上国内安全企业提供OEM</w:t>
            </w:r>
            <w:r>
              <w:rPr>
                <w:rFonts w:ascii="宋体" w:hAnsi="宋体" w:eastAsia="宋体" w:cs="微软雅黑"/>
                <w:color w:val="auto"/>
                <w:sz w:val="21"/>
                <w:szCs w:val="21"/>
              </w:rPr>
              <w:t>。</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ascii="宋体" w:hAnsi="宋体" w:eastAsia="宋体" w:cs="微软雅黑"/>
                <w:b/>
                <w:bCs/>
                <w:color w:val="auto"/>
                <w:sz w:val="21"/>
                <w:szCs w:val="21"/>
              </w:rPr>
              <w:t>提供双方合作证明材料复印件。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restart"/>
            <w:vAlign w:val="center"/>
          </w:tcPr>
          <w:p>
            <w:pPr>
              <w:jc w:val="center"/>
              <w:rPr>
                <w:rFonts w:ascii="宋体" w:hAnsi="宋体" w:eastAsia="宋体" w:cs="宋体"/>
                <w:b/>
                <w:bCs/>
              </w:rPr>
            </w:pPr>
            <w:r>
              <w:rPr>
                <w:rFonts w:hint="eastAsia" w:ascii="宋体" w:hAnsi="宋体" w:eastAsia="宋体" w:cs="宋体"/>
                <w:b/>
                <w:bCs/>
              </w:rPr>
              <w:t>体系架构</w:t>
            </w:r>
          </w:p>
          <w:p>
            <w:pPr>
              <w:jc w:val="center"/>
              <w:rPr>
                <w:rFonts w:ascii="宋体" w:hAnsi="宋体" w:eastAsia="宋体" w:cs="宋体"/>
                <w:b/>
                <w:bCs/>
              </w:rPr>
            </w:pPr>
            <w:r>
              <w:rPr>
                <w:rFonts w:hint="eastAsia" w:ascii="宋体" w:hAnsi="宋体" w:eastAsia="宋体" w:cs="宋体"/>
                <w:b/>
                <w:bCs/>
              </w:rPr>
              <w:t>系统部署</w:t>
            </w:r>
          </w:p>
        </w:tc>
        <w:tc>
          <w:tcPr>
            <w:tcW w:w="7946" w:type="dxa"/>
          </w:tcPr>
          <w:p>
            <w:pPr>
              <w:rPr>
                <w:rFonts w:ascii="宋体" w:hAnsi="宋体" w:eastAsia="宋体" w:cs="宋体"/>
                <w:szCs w:val="21"/>
              </w:rPr>
            </w:pPr>
            <w:r>
              <w:rPr>
                <w:rFonts w:hint="eastAsia" w:ascii="宋体" w:hAnsi="宋体" w:eastAsia="宋体" w:cs="宋体"/>
                <w:kern w:val="0"/>
                <w:szCs w:val="21"/>
              </w:rPr>
              <w:t>要求系统支持中/英文界面，系统部署采用 C/S 架构，管理采用 B/S 架构，管理员只需通过浏览器登录控制中心，即可对系统进行管理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微软雅黑"/>
                <w:szCs w:val="21"/>
              </w:rPr>
              <w:t>要求控制中心平台可以部署在以下操作系统上：</w:t>
            </w:r>
            <w:r>
              <w:rPr>
                <w:rFonts w:hint="eastAsia" w:ascii="宋体" w:hAnsi="宋体" w:eastAsia="宋体" w:cs="宋体"/>
                <w:kern w:val="0"/>
                <w:szCs w:val="21"/>
              </w:rPr>
              <w:t>Windows XP、Windows 7、Windows 8、Windows 8.1、Windows 10、Windows Server 2003、Windows Server 2008、Windows Server 2012、Windows Server 2016、Windows Server 2019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要求客户端</w:t>
            </w:r>
            <w:r>
              <w:rPr>
                <w:rFonts w:hint="eastAsia" w:ascii="宋体" w:hAnsi="宋体" w:eastAsia="宋体" w:cs="宋体"/>
                <w:kern w:val="0"/>
                <w:szCs w:val="21"/>
              </w:rPr>
              <w:t>支持CentOS、Ubuntu、SUSE、Redhat等主流Linux发行操作系统。需要GNU libc 2.12及以上版本</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要求客户端</w:t>
            </w:r>
            <w:r>
              <w:rPr>
                <w:rFonts w:hint="eastAsia" w:ascii="宋体" w:hAnsi="宋体" w:eastAsia="宋体" w:cs="宋体"/>
                <w:kern w:val="0"/>
                <w:szCs w:val="21"/>
              </w:rPr>
              <w:t>支持国产操作系统Deepin、红旗、神州网信、麒麟系列、UOS等。需要GNU libc 2.12及以上版本</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客户端安装方式支持Web安装、远程安装、AD域环境批量安装、共享安装、静默安装、MDT部署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tabs>
                <w:tab w:val="left" w:pos="1317"/>
              </w:tabs>
              <w:rPr>
                <w:rFonts w:ascii="宋体" w:hAnsi="宋体" w:eastAsia="宋体" w:cs="微软雅黑"/>
                <w:szCs w:val="21"/>
              </w:rPr>
            </w:pPr>
            <w:r>
              <w:rPr>
                <w:rFonts w:hint="eastAsia" w:ascii="宋体" w:hAnsi="宋体" w:eastAsia="宋体" w:cs="微软雅黑"/>
                <w:szCs w:val="21"/>
              </w:rPr>
              <w:t>要求内置控制中心配置工具，可对控制中心参数进行修改配置。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要求客户端安装后占用50M硬盘空间， 病毒库大小不超过50M，日常内存占用不到50M，有效节省电脑资源。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微软雅黑"/>
                <w:szCs w:val="21"/>
              </w:rPr>
            </w:pPr>
            <w:r>
              <w:rPr>
                <w:rFonts w:hint="eastAsia" w:ascii="宋体" w:hAnsi="宋体" w:eastAsia="宋体" w:cs="宋体"/>
                <w:szCs w:val="21"/>
              </w:rPr>
              <w:t>要求</w:t>
            </w:r>
            <w:r>
              <w:rPr>
                <w:rFonts w:hint="eastAsia" w:ascii="宋体" w:hAnsi="宋体" w:eastAsia="宋体" w:cs="宋体"/>
                <w:spacing w:val="23"/>
                <w:szCs w:val="21"/>
                <w:shd w:val="clear" w:color="auto" w:fill="FFFFFF"/>
              </w:rPr>
              <w:t>可按照安装密码、IP地址范围来限制可以安装的终端，避免终端被随意安装</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要求中心</w:t>
            </w:r>
            <w:r>
              <w:rPr>
                <w:rFonts w:hint="eastAsia" w:ascii="宋体" w:hAnsi="宋体" w:eastAsia="宋体" w:cs="宋体"/>
                <w:kern w:val="0"/>
                <w:szCs w:val="21"/>
              </w:rPr>
              <w:t>支持容灾备份功能，当主中心计算机遭受如宕机、断电、硬件/软件故障等意外情况或人为操作错误导致主中心计算机无法正常使用时，备用中心将自动顶替宕机的主中心且同步数据。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restart"/>
            <w:vAlign w:val="center"/>
          </w:tcPr>
          <w:p>
            <w:pPr>
              <w:jc w:val="center"/>
              <w:rPr>
                <w:rFonts w:ascii="宋体" w:hAnsi="宋体" w:eastAsia="宋体" w:cs="宋体"/>
                <w:b/>
                <w:bCs/>
              </w:rPr>
            </w:pPr>
            <w:r>
              <w:rPr>
                <w:rFonts w:hint="eastAsia" w:ascii="宋体" w:hAnsi="宋体" w:eastAsia="宋体" w:cs="宋体"/>
                <w:b/>
                <w:bCs/>
              </w:rPr>
              <w:t>中心基础功能</w:t>
            </w:r>
          </w:p>
        </w:tc>
        <w:tc>
          <w:tcPr>
            <w:tcW w:w="7946" w:type="dxa"/>
          </w:tcPr>
          <w:p>
            <w:pPr>
              <w:rPr>
                <w:rFonts w:ascii="宋体" w:hAnsi="宋体" w:eastAsia="宋体" w:cs="宋体"/>
                <w:szCs w:val="21"/>
              </w:rPr>
            </w:pPr>
            <w:r>
              <w:rPr>
                <w:rFonts w:hint="eastAsia" w:ascii="宋体" w:hAnsi="宋体" w:eastAsia="宋体" w:cs="宋体"/>
                <w:szCs w:val="21"/>
              </w:rPr>
              <w:t>要求支持展示全网终端安全概览：终端在线数量、异常终端、今日防御事件、累计保护时长、最新安全动态、终端操作系统概览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要求支持展示全网终端安全事件可视化数据：7/30天病毒查杀事件、7/30天漏洞修复事件、7/30天系统防护事件、7/30天网络攻击事件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要求支持监控中心服务器性能：CPU使用率、内存使用率、磁盘占用率、网络流量使用状况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定制防护策略以及策略细粒度配置：包括病毒防御（文件实时监控、恶意行为监控、U盘保护、下载保护、邮件监控、Web扫描）；系统防御（系统加固、应用加固、软件安装拦截、浏览器保护、摄像头防护）；网络防御（网络入侵拦截、对外攻击拦截、恶意网站拦截、Web服务保护、爆破攻击防护、僵尸网络防护、远程登录防护）；访问控制（IP协议控制、IP黑名单、联网控制、网站内容控制、程序执行控制、设备控制）以及安全工具可根据不同分组需求定制不同的策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ascii="宋体" w:hAnsi="宋体" w:eastAsia="宋体" w:cs="宋体"/>
                <w:szCs w:val="21"/>
              </w:rPr>
              <w:t>要求中心支持提供</w:t>
            </w:r>
            <w:r>
              <w:rPr>
                <w:rFonts w:hint="eastAsia" w:ascii="宋体" w:hAnsi="宋体" w:eastAsia="宋体" w:cs="宋体"/>
                <w:szCs w:val="21"/>
              </w:rPr>
              <w:t>有</w:t>
            </w:r>
            <w:r>
              <w:rPr>
                <w:rFonts w:ascii="宋体" w:hAnsi="宋体" w:eastAsia="宋体" w:cs="宋体"/>
                <w:szCs w:val="21"/>
              </w:rPr>
              <w:t>风险</w:t>
            </w:r>
            <w:r>
              <w:rPr>
                <w:rFonts w:hint="eastAsia" w:ascii="宋体" w:hAnsi="宋体" w:eastAsia="宋体" w:cs="宋体"/>
                <w:szCs w:val="21"/>
              </w:rPr>
              <w:t>的流氓软件列表，可以阻止</w:t>
            </w:r>
            <w:r>
              <w:rPr>
                <w:rFonts w:ascii="宋体" w:hAnsi="宋体" w:eastAsia="宋体" w:cs="宋体"/>
                <w:szCs w:val="21"/>
              </w:rPr>
              <w:t>风险</w:t>
            </w:r>
            <w:r>
              <w:rPr>
                <w:rFonts w:hint="eastAsia" w:ascii="宋体" w:hAnsi="宋体" w:eastAsia="宋体" w:cs="宋体"/>
                <w:szCs w:val="21"/>
              </w:rPr>
              <w:t>软件的安装，不影响正常办公软件的安装使用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要求中心可配置与终端通讯时间，避免因通讯频繁导致负载过大。可限制终端的最大并发数及单个连接最大下载速度，缓解对带宽带来的负荷。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要求中心可启用SysLog日志导出功能，支持导出安全日志、升级日志、漏洞修复日志。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要求中心支持任务通知，可在任务完成时、硬件变更时、终端安全服务异常时、子中心连入时、子中心脱离时接收通知。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要求支持邮件预警功能，当全网发现病毒事件、网络攻击事件、超过一周未更新时发送邮件通知。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要求中心具备事件日志模块，包含病毒查杀日志、病毒防御事件日志、系统防御事件日志、网络防御事件日志、访问控制事件日志、漏洞修复事件日志、终端管理日志、系统管理日志。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要求中心配备安全工具及管理工具：域部署工具、离线升级工具、中心迁移工具、移动存储注册工具安全U盘程序、专杀工具。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要求中心支持全局信任区可通过信任文件路径、信任文件校验和方法添加信任文件以及添加信任网址。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restart"/>
            <w:vAlign w:val="center"/>
          </w:tcPr>
          <w:p>
            <w:pPr>
              <w:jc w:val="center"/>
              <w:rPr>
                <w:rFonts w:ascii="宋体" w:hAnsi="宋体" w:eastAsia="宋体" w:cs="宋体"/>
                <w:b/>
                <w:bCs/>
              </w:rPr>
            </w:pPr>
            <w:r>
              <w:rPr>
                <w:rFonts w:hint="eastAsia" w:ascii="宋体" w:hAnsi="宋体" w:eastAsia="宋体" w:cs="宋体"/>
                <w:b/>
                <w:bCs/>
              </w:rPr>
              <w:t>中心管理</w:t>
            </w:r>
          </w:p>
        </w:tc>
        <w:tc>
          <w:tcPr>
            <w:tcW w:w="7946" w:type="dxa"/>
          </w:tcPr>
          <w:p>
            <w:pPr>
              <w:rPr>
                <w:rFonts w:ascii="宋体" w:hAnsi="宋体" w:eastAsia="宋体" w:cs="宋体"/>
                <w:szCs w:val="21"/>
              </w:rPr>
            </w:pPr>
            <w:r>
              <w:rPr>
                <w:rFonts w:hint="eastAsia" w:ascii="宋体" w:hAnsi="宋体" w:eastAsia="宋体" w:cs="宋体"/>
                <w:szCs w:val="21"/>
              </w:rPr>
              <w:t>要求可按照不同分组创建管理员且管理权限可按模块划分，支持管理员接收邮件预警。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tabs>
                <w:tab w:val="left" w:pos="120"/>
              </w:tabs>
              <w:rPr>
                <w:rFonts w:ascii="宋体" w:hAnsi="宋体" w:eastAsia="宋体" w:cs="宋体"/>
                <w:szCs w:val="21"/>
              </w:rPr>
            </w:pPr>
            <w:r>
              <w:rPr>
                <w:rFonts w:ascii="宋体" w:hAnsi="宋体" w:eastAsia="宋体" w:cs="宋体"/>
                <w:szCs w:val="21"/>
              </w:rPr>
              <w:tab/>
            </w:r>
            <w:r>
              <w:rPr>
                <w:rFonts w:hint="eastAsia" w:ascii="宋体" w:hAnsi="宋体" w:eastAsia="宋体" w:cs="宋体"/>
                <w:szCs w:val="21"/>
              </w:rPr>
              <w:t>支持根据IP地址、通信地址、终端名称创建分组，支持分组信息导入导出，分组支持与LDAP进行同步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要求支持中心无操作自动登出设置，防止管理后台闲置时自动退出，避免频繁登录。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tabs>
                <w:tab w:val="left" w:pos="1090"/>
              </w:tabs>
              <w:rPr>
                <w:rFonts w:ascii="宋体" w:hAnsi="宋体" w:eastAsia="宋体" w:cs="微软雅黑"/>
                <w:szCs w:val="21"/>
              </w:rPr>
            </w:pPr>
            <w:r>
              <w:rPr>
                <w:rFonts w:hint="eastAsia" w:ascii="宋体" w:hAnsi="宋体" w:eastAsia="宋体" w:cs="微软雅黑"/>
                <w:szCs w:val="21"/>
              </w:rPr>
              <w:t>★</w:t>
            </w:r>
            <w:r>
              <w:rPr>
                <w:rFonts w:hint="eastAsia" w:ascii="宋体" w:hAnsi="宋体" w:eastAsia="宋体"/>
              </w:rPr>
              <w:t>要求支持</w:t>
            </w:r>
            <w:r>
              <w:rPr>
                <w:rFonts w:ascii="宋体" w:hAnsi="宋体" w:eastAsia="宋体"/>
              </w:rPr>
              <w:t>终端以中心的系统时间为准</w:t>
            </w:r>
            <w:r>
              <w:rPr>
                <w:rFonts w:hint="eastAsia" w:ascii="宋体" w:hAnsi="宋体" w:eastAsia="宋体"/>
              </w:rPr>
              <w:t>，</w:t>
            </w:r>
            <w:r>
              <w:rPr>
                <w:rFonts w:ascii="宋体" w:hAnsi="宋体" w:eastAsia="宋体"/>
              </w:rPr>
              <w:t>并</w:t>
            </w:r>
            <w:r>
              <w:rPr>
                <w:rFonts w:hint="eastAsia" w:ascii="宋体" w:hAnsi="宋体" w:eastAsia="宋体"/>
              </w:rPr>
              <w:t>定期检测</w:t>
            </w:r>
            <w:r>
              <w:rPr>
                <w:rFonts w:ascii="宋体" w:hAnsi="宋体" w:eastAsia="宋体"/>
              </w:rPr>
              <w:t>始终保持同步功能（允许例外终端不进行时间同步）</w:t>
            </w:r>
            <w:r>
              <w:rPr>
                <w:rFonts w:hint="eastAsia" w:ascii="宋体" w:hAnsi="宋体" w:eastAsia="宋体"/>
              </w:rPr>
              <w:t>。</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微软雅黑"/>
                <w:b/>
                <w:bCs/>
                <w:szCs w:val="21"/>
              </w:rPr>
              <w:t>提供原厂盖章截图证明原件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tabs>
                <w:tab w:val="left" w:pos="1090"/>
              </w:tabs>
              <w:rPr>
                <w:rFonts w:ascii="宋体" w:hAnsi="宋体" w:eastAsia="宋体" w:cs="微软雅黑"/>
                <w:szCs w:val="21"/>
              </w:rPr>
            </w:pPr>
            <w:r>
              <w:rPr>
                <w:rFonts w:hint="eastAsia" w:ascii="宋体" w:hAnsi="宋体" w:eastAsia="宋体" w:cs="微软雅黑"/>
                <w:szCs w:val="21"/>
              </w:rPr>
              <w:t>★</w:t>
            </w:r>
            <w:r>
              <w:rPr>
                <w:rFonts w:hint="eastAsia" w:ascii="宋体" w:hAnsi="宋体" w:eastAsia="宋体"/>
              </w:rPr>
              <w:t>支持</w:t>
            </w:r>
            <w:r>
              <w:rPr>
                <w:rFonts w:ascii="宋体" w:hAnsi="宋体" w:eastAsia="宋体"/>
              </w:rPr>
              <w:t>软件禁用功能可实现对终端的违规软件安装的</w:t>
            </w:r>
            <w:r>
              <w:rPr>
                <w:rFonts w:hint="eastAsia" w:ascii="宋体" w:hAnsi="宋体" w:eastAsia="宋体"/>
              </w:rPr>
              <w:t>检测，检测违规软件之后提示卸载、隔离终端等。</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微软雅黑"/>
                <w:b/>
                <w:bCs/>
                <w:szCs w:val="21"/>
              </w:rPr>
              <w:t>提供原厂盖章截图证明原件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tabs>
                <w:tab w:val="left" w:pos="1090"/>
              </w:tabs>
              <w:rPr>
                <w:rFonts w:ascii="宋体" w:hAnsi="宋体" w:eastAsia="宋体" w:cs="微软雅黑"/>
                <w:szCs w:val="21"/>
              </w:rPr>
            </w:pPr>
            <w:r>
              <w:rPr>
                <w:rFonts w:hint="eastAsia" w:ascii="宋体" w:hAnsi="宋体" w:eastAsia="宋体" w:cs="微软雅黑"/>
                <w:szCs w:val="21"/>
              </w:rPr>
              <w:t>★</w:t>
            </w:r>
            <w:r>
              <w:rPr>
                <w:rFonts w:hint="eastAsia" w:ascii="宋体" w:hAnsi="宋体" w:eastAsia="宋体"/>
              </w:rPr>
              <w:t>支持</w:t>
            </w:r>
            <w:r>
              <w:rPr>
                <w:rFonts w:ascii="宋体" w:hAnsi="宋体" w:eastAsia="宋体"/>
              </w:rPr>
              <w:t>违规外联功能可实现外联能力探测</w:t>
            </w:r>
            <w:r>
              <w:rPr>
                <w:rFonts w:hint="eastAsia" w:ascii="宋体" w:hAnsi="宋体" w:eastAsia="宋体"/>
              </w:rPr>
              <w:t>，检测到违规外联后进行重启或者断网。</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微软雅黑"/>
                <w:b/>
                <w:bCs/>
                <w:szCs w:val="21"/>
              </w:rPr>
              <w:t>提供原厂盖章截图证明原件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tabs>
                <w:tab w:val="left" w:pos="1090"/>
              </w:tabs>
              <w:rPr>
                <w:rFonts w:ascii="宋体" w:hAnsi="宋体" w:eastAsia="宋体" w:cs="微软雅黑"/>
                <w:szCs w:val="21"/>
              </w:rPr>
            </w:pPr>
            <w:r>
              <w:rPr>
                <w:rFonts w:hint="eastAsia" w:ascii="宋体" w:hAnsi="宋体" w:eastAsia="宋体" w:cs="微软雅黑"/>
                <w:szCs w:val="21"/>
              </w:rPr>
              <w:t>要求中心支持</w:t>
            </w:r>
            <w:r>
              <w:rPr>
                <w:rFonts w:ascii="宋体" w:hAnsi="宋体" w:eastAsia="宋体"/>
              </w:rPr>
              <w:t>终端发现功能</w:t>
            </w:r>
            <w:r>
              <w:rPr>
                <w:rFonts w:hint="eastAsia" w:ascii="宋体" w:hAnsi="宋体" w:eastAsia="宋体"/>
              </w:rPr>
              <w:t>，发现同网段内未安装的终端，支持自定义设置发现频率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tabs>
                <w:tab w:val="left" w:pos="1090"/>
              </w:tabs>
              <w:rPr>
                <w:rFonts w:ascii="宋体" w:hAnsi="宋体" w:eastAsia="宋体" w:cs="宋体"/>
                <w:szCs w:val="21"/>
              </w:rPr>
            </w:pPr>
            <w:r>
              <w:rPr>
                <w:rFonts w:hint="eastAsia" w:ascii="宋体" w:hAnsi="宋体" w:eastAsia="宋体" w:cs="微软雅黑"/>
                <w:szCs w:val="21"/>
              </w:rPr>
              <w:t>★</w:t>
            </w:r>
            <w:r>
              <w:rPr>
                <w:rFonts w:hint="eastAsia" w:ascii="宋体" w:hAnsi="宋体" w:eastAsia="宋体" w:cs="宋体"/>
                <w:szCs w:val="21"/>
              </w:rPr>
              <w:t>要求中心具有登陆二次验证功能，开启该功能后，通过登录中心时进行二次验证的方式，阻止中心遭遇密码泄露、弱口令暴破、撞库等黑客破解行为带来的危害，达到保护控制中心的目的。</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微软雅黑"/>
                <w:b/>
                <w:bCs/>
                <w:szCs w:val="21"/>
              </w:rPr>
              <w:t>提供原厂盖章截图证明原件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微软雅黑"/>
                <w:szCs w:val="21"/>
              </w:rPr>
              <w:t>★</w:t>
            </w:r>
            <w:r>
              <w:rPr>
                <w:rFonts w:hint="eastAsia" w:ascii="宋体" w:hAnsi="宋体" w:eastAsia="宋体" w:cs="宋体"/>
                <w:szCs w:val="21"/>
              </w:rPr>
              <w:t>要求管理员可设置高危操作动态认证，下发远程桌面任务、添加信任文件或进行文件分发时需要管理员进行二次动态认证后才可执行高危操作。</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微软雅黑"/>
                <w:b/>
                <w:bCs/>
                <w:szCs w:val="21"/>
              </w:rPr>
              <w:t>提供原厂盖章截图证明原件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tabs>
                <w:tab w:val="left" w:pos="1605"/>
              </w:tabs>
              <w:rPr>
                <w:rFonts w:ascii="宋体" w:hAnsi="宋体" w:eastAsia="宋体" w:cs="宋体"/>
                <w:szCs w:val="21"/>
              </w:rPr>
            </w:pPr>
            <w:r>
              <w:rPr>
                <w:rFonts w:hint="eastAsia" w:ascii="宋体" w:hAnsi="宋体" w:eastAsia="宋体" w:cs="微软雅黑"/>
                <w:szCs w:val="21"/>
              </w:rPr>
              <w:t>★Windows 7或以上系统，Windows2008或以上系统，具有终端动态口令验证功能，当终端用户登录计算机时都将弹出动态口令安全认证窗口，若用户设置了计算机密码，该弹窗将在用户输入正确的账户密码后弹出。用户需再次输入正确的动态口令才可登入计算机，且可设置应用范围：远程登录时启用或本地登录时启用。阻止终端遭遇密码泄露、弱口令暴破、撞库等黑客破解行为带来的危害。</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微软雅黑"/>
                <w:b/>
                <w:bCs/>
                <w:szCs w:val="21"/>
              </w:rPr>
              <w:t>提供原厂盖章截图证明原件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要求具有多级中心功能，且多级中心支持无限制级数级联管理，管理员身份支持直接登陆下级中心，方便上级对下级管理，实现异地管控，最大化减少上级服务器压力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要求多级中心可设置下级中心授权方式：独立授权、动态授权、自定义授权，且下级中心可配置从上级中心获取升级数据、补丁数据。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要求支持备份终端信息,分组及规则,防护策略,事件日志,管理员信息,系统设置；支持自动备份，按照月/周/时间设置自动备份。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要求支持按全网终端迁移或部分终端迁移，当网络环境发生变化或物理设备出现故障时可转移终端。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要求支持设置管理员密码防止终端更改策略、退出；防卸载密码防止客户端自行卸载。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ascii="宋体" w:hAnsi="宋体" w:eastAsia="宋体" w:cs="宋体"/>
                <w:szCs w:val="21"/>
              </w:rPr>
              <w:t>要求支持对单一终端设置临时管理员密码</w:t>
            </w:r>
            <w:r>
              <w:rPr>
                <w:rFonts w:hint="eastAsia" w:ascii="宋体" w:hAnsi="宋体" w:eastAsia="宋体" w:cs="宋体"/>
                <w:szCs w:val="21"/>
              </w:rPr>
              <w:t>，密码到期后自动同步策略</w:t>
            </w:r>
            <w:r>
              <w:rPr>
                <w:rFonts w:ascii="宋体" w:hAnsi="宋体" w:eastAsia="宋体" w:cs="宋体"/>
                <w:szCs w:val="21"/>
              </w:rPr>
              <w:t>，避免管理员密码泄露；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要求支持离线终端可设置过期时间，过期终端超时后将自动从中心删除。</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要求中心可配置终端管理员信息，客户端出现问题需要求助管理员时可追溯。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要求支持中心地址屏蔽来自搜索引擎的页面访问，当中心架设在公网时防止他人恶意访问。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要求支持远程桌面任务应答时间配置，可设置超时处理方式，拒绝或接受。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要求支持中心升级可配置手动、自动以及指定升级代理服务器。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要求支持可对终端添加多个中心地址,当终端接入网络环境时,中心可对终端实施管控。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2" w:hRule="atLeast"/>
          <w:jc w:val="center"/>
        </w:trPr>
        <w:tc>
          <w:tcPr>
            <w:tcW w:w="1647" w:type="dxa"/>
            <w:vMerge w:val="continue"/>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要求支持终端安装部署页面可自定义设置部署页通知文字。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restart"/>
            <w:vAlign w:val="center"/>
          </w:tcPr>
          <w:p>
            <w:pPr>
              <w:jc w:val="center"/>
              <w:rPr>
                <w:rFonts w:ascii="宋体" w:hAnsi="宋体" w:eastAsia="宋体" w:cs="宋体"/>
                <w:b/>
                <w:bCs/>
              </w:rPr>
            </w:pPr>
            <w:r>
              <w:rPr>
                <w:rFonts w:hint="eastAsia" w:ascii="宋体" w:hAnsi="宋体" w:eastAsia="宋体" w:cs="宋体"/>
                <w:b/>
                <w:bCs/>
              </w:rPr>
              <w:t>资产管理</w:t>
            </w:r>
          </w:p>
        </w:tc>
        <w:tc>
          <w:tcPr>
            <w:tcW w:w="7946" w:type="dxa"/>
          </w:tcPr>
          <w:p>
            <w:pPr>
              <w:rPr>
                <w:rFonts w:ascii="宋体" w:hAnsi="宋体" w:eastAsia="宋体" w:cs="宋体"/>
                <w:szCs w:val="21"/>
              </w:rPr>
            </w:pPr>
            <w:r>
              <w:rPr>
                <w:rFonts w:hint="eastAsia" w:ascii="宋体" w:hAnsi="宋体" w:eastAsia="宋体" w:cs="宋体"/>
                <w:szCs w:val="21"/>
              </w:rPr>
              <w:t>要求中心可对全网终端下发登记任务，需登记的信息可自定义内容，支持设置必填项或非必填项；且可开启终端安装资产登记功能，运行安装包后需先填写登记信息才可继续安装。</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要求中心可按全网统计软件安装情况，包括软件名称、发布者、版本号、安装率；</w:t>
            </w:r>
            <w:r>
              <w:rPr>
                <w:rFonts w:ascii="宋体" w:hAnsi="宋体" w:eastAsia="宋体" w:cs="宋体"/>
                <w:szCs w:val="21"/>
              </w:rPr>
              <w:t>可以提供软件安装、卸载日志；</w:t>
            </w:r>
            <w:r>
              <w:rPr>
                <w:rFonts w:hint="eastAsia" w:ascii="宋体" w:hAnsi="宋体" w:eastAsia="宋体" w:cs="宋体"/>
                <w:szCs w:val="21"/>
              </w:rPr>
              <w:t>可对支持导出软件清单；按终端、按分组统计软件安装情况。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要求中心</w:t>
            </w:r>
            <w:r>
              <w:rPr>
                <w:rFonts w:ascii="宋体" w:hAnsi="宋体" w:eastAsia="宋体" w:cs="宋体"/>
                <w:szCs w:val="21"/>
              </w:rPr>
              <w:t>可</w:t>
            </w:r>
            <w:r>
              <w:rPr>
                <w:rFonts w:hint="eastAsia" w:ascii="宋体" w:hAnsi="宋体" w:eastAsia="宋体" w:cs="宋体"/>
                <w:spacing w:val="23"/>
                <w:szCs w:val="21"/>
                <w:shd w:val="clear" w:color="auto" w:fill="FFFFFF"/>
              </w:rPr>
              <w:t>对指定终端创建针对某些软件的卸载任务，并支持强制卸载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要求中心可统计全网操作系统版本信息、安装时间、激活状态且具有操作系统占比可视化数据图。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要求中心可统计全网终端硬件信息包括CPU、内存、硬盘、网卡、显卡、主板且支持硬件清单导出。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要求中心支持全网终端硬件变更历史记录包括变更时间、变更硬件、操作。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restart"/>
            <w:vAlign w:val="center"/>
          </w:tcPr>
          <w:p>
            <w:pPr>
              <w:jc w:val="center"/>
              <w:rPr>
                <w:rFonts w:ascii="宋体" w:hAnsi="宋体" w:eastAsia="宋体" w:cs="宋体"/>
                <w:b/>
                <w:bCs/>
              </w:rPr>
            </w:pPr>
            <w:r>
              <w:rPr>
                <w:rFonts w:hint="eastAsia" w:ascii="宋体" w:hAnsi="宋体" w:eastAsia="宋体" w:cs="宋体"/>
                <w:b/>
                <w:bCs/>
              </w:rPr>
              <w:t>运维管控</w:t>
            </w:r>
          </w:p>
        </w:tc>
        <w:tc>
          <w:tcPr>
            <w:tcW w:w="7946" w:type="dxa"/>
          </w:tcPr>
          <w:p>
            <w:pPr>
              <w:rPr>
                <w:rFonts w:ascii="宋体" w:hAnsi="宋体" w:eastAsia="宋体" w:cs="宋体"/>
                <w:szCs w:val="21"/>
              </w:rPr>
            </w:pPr>
            <w:r>
              <w:rPr>
                <w:rFonts w:hint="eastAsia" w:ascii="宋体" w:hAnsi="宋体" w:eastAsia="宋体" w:cs="宋体"/>
                <w:szCs w:val="21"/>
              </w:rPr>
              <w:t>要求展示终端基本信息：终端名称、计算机名称、本地IP、通信IP、MAC地址、终端类型、操作系统版本、病毒库版本、终端版本、唯一标识、防御功能状态、禁网状态、策略同步状态、最近登录用户、上线时间、终端标签等。能组合检索项进行全方位查询、定位、展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中心支持对终端下发快速查杀、全盘查杀、自定查杀任务，可推送终端升级、发送通知、同步防护策略、垃圾清理、关机、重启等任务。中心支持将终端禁网，实现上网行为管控。支持将终端隔离区内文件恢复。支持将终端拉黑，避免占用授权点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要求中心具有远程桌面功能，可关闭系统自带的远程桌面，使用远程桌面功能替代，预防黑客远程桌面爆破。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要求中心可预览终端系统用户信息、软件信息、漏洞信息、计划任务且支持对终端网络信息进行配置，可配置IP地址、DNS。</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要求支持自定义标签内容，将标签自定义给予终端，可灵活对终端进行标记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要求中心可对终端下发文件分发任务，支持仅接收、接收并运行、以系统权限运行且可携带运行参数。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要求可设置定时任务，支持快速查杀、全盘查杀、自定义查杀、漏洞修复、终端升级、发送通知、垃圾清理、关机、重启且配置执行方式：自定义计划、单次执行、开机执行、登录执行计划任务。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要求中心可查看下发任务详情，包括任务执行状态、任务创建时间、过期时间且可终止已下发任务。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647" w:type="dxa"/>
            <w:vMerge w:val="restart"/>
            <w:vAlign w:val="center"/>
          </w:tcPr>
          <w:p>
            <w:pPr>
              <w:jc w:val="center"/>
              <w:rPr>
                <w:rFonts w:ascii="宋体" w:hAnsi="宋体" w:eastAsia="宋体" w:cs="宋体"/>
                <w:b/>
                <w:bCs/>
              </w:rPr>
            </w:pPr>
            <w:r>
              <w:rPr>
                <w:rFonts w:hint="eastAsia" w:ascii="宋体" w:hAnsi="宋体" w:eastAsia="宋体" w:cs="宋体"/>
                <w:b/>
                <w:bCs/>
              </w:rPr>
              <w:t>漏洞扫描</w:t>
            </w:r>
          </w:p>
          <w:p>
            <w:pPr>
              <w:jc w:val="center"/>
              <w:rPr>
                <w:rFonts w:ascii="宋体" w:hAnsi="宋体" w:eastAsia="宋体" w:cs="宋体"/>
              </w:rPr>
            </w:pPr>
            <w:r>
              <w:rPr>
                <w:rFonts w:hint="eastAsia" w:ascii="宋体" w:hAnsi="宋体" w:eastAsia="宋体" w:cs="宋体"/>
                <w:b/>
                <w:bCs/>
              </w:rPr>
              <w:t>补丁修复</w:t>
            </w:r>
          </w:p>
        </w:tc>
        <w:tc>
          <w:tcPr>
            <w:tcW w:w="7946" w:type="dxa"/>
          </w:tcPr>
          <w:p>
            <w:pPr>
              <w:rPr>
                <w:rFonts w:ascii="宋体" w:hAnsi="宋体" w:eastAsia="宋体" w:cs="宋体"/>
                <w:szCs w:val="21"/>
              </w:rPr>
            </w:pPr>
            <w:r>
              <w:rPr>
                <w:rFonts w:hint="eastAsia" w:ascii="宋体" w:hAnsi="宋体" w:eastAsia="宋体" w:cs="宋体"/>
                <w:szCs w:val="21"/>
              </w:rPr>
              <w:t>要求支持漏洞集中修复、统一修复高危漏洞、统一修复所有漏洞，并展示以修复补丁和未修复补丁的信息。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要求支持带宽设置：可限制终端下载补丁时的最大并发数及单个连接最大下载速度，缓解对带宽带来的压力。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要求支持补丁忽略：可以按照补丁进行忽略，忽略的补丁将不再修复，防止终端打补丁后造成系统或业务进程崩溃。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要求支持补丁文件管理，缓存在中心本地的补丁，可进行下载。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要求支持热补丁机制，利用产品自身防御功能，防护其他软件出现的漏洞，阻止对计算机造成损害。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restart"/>
            <w:vAlign w:val="center"/>
          </w:tcPr>
          <w:p>
            <w:pPr>
              <w:jc w:val="center"/>
              <w:rPr>
                <w:rFonts w:ascii="宋体" w:hAnsi="宋体" w:eastAsia="宋体" w:cs="宋体"/>
                <w:b/>
                <w:bCs/>
              </w:rPr>
            </w:pPr>
            <w:r>
              <w:rPr>
                <w:rFonts w:hint="eastAsia" w:ascii="宋体" w:hAnsi="宋体" w:eastAsia="宋体" w:cs="宋体"/>
                <w:b/>
                <w:bCs/>
              </w:rPr>
              <w:t>反病毒引擎</w:t>
            </w:r>
          </w:p>
        </w:tc>
        <w:tc>
          <w:tcPr>
            <w:tcW w:w="7946" w:type="dxa"/>
          </w:tcPr>
          <w:p>
            <w:pPr>
              <w:rPr>
                <w:rFonts w:ascii="宋体" w:hAnsi="宋体" w:eastAsia="宋体" w:cs="宋体"/>
                <w:szCs w:val="21"/>
              </w:rPr>
            </w:pPr>
            <w:r>
              <w:rPr>
                <w:rFonts w:hint="eastAsia" w:ascii="宋体" w:hAnsi="宋体" w:eastAsia="宋体" w:cs="宋体"/>
                <w:szCs w:val="21"/>
              </w:rPr>
              <w:t>要求具有反病毒底层技术，反病毒引擎为本地反病毒引擎，不依赖云（联网时的病毒查杀能力与断网时的病毒查杀能力一致）。具有轻量级的病毒库，却有较强的病毒查杀能力。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要求反病毒引擎具有虚拟沙盒技术，能对待扫描的PE样本应用通用脱壳和动态行为扫描技术，用较少的记录，长期、有效地检出家族性样本。要求虚拟沙盒接近真实 CPU 的执行效率和高还原度的操作系统环境仿真且具有很强的抗干扰能力。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要求反病毒引擎具有基于虚拟沙盒的动态行为分析，可以跟踪和记录运行在其中程序的行为，通过行为记录，可以通过启发式分析算法对程序的恶意性进行评估。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6" w:hRule="atLeast"/>
          <w:jc w:val="center"/>
        </w:trPr>
        <w:tc>
          <w:tcPr>
            <w:tcW w:w="1647" w:type="dxa"/>
            <w:vMerge w:val="continue"/>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要求反病毒引擎具有代码级修复能力，对寄生类恶意代码拥有完善的解决方案。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restart"/>
            <w:vAlign w:val="center"/>
          </w:tcPr>
          <w:p>
            <w:pPr>
              <w:jc w:val="center"/>
              <w:rPr>
                <w:rFonts w:ascii="宋体" w:hAnsi="宋体" w:eastAsia="宋体" w:cs="宋体"/>
              </w:rPr>
            </w:pPr>
            <w:r>
              <w:rPr>
                <w:rFonts w:hint="eastAsia" w:ascii="宋体" w:hAnsi="宋体" w:eastAsia="宋体" w:cs="宋体"/>
                <w:b/>
                <w:bCs/>
              </w:rPr>
              <w:t>病毒防御</w:t>
            </w:r>
          </w:p>
        </w:tc>
        <w:tc>
          <w:tcPr>
            <w:tcW w:w="7946" w:type="dxa"/>
          </w:tcPr>
          <w:p>
            <w:pPr>
              <w:rPr>
                <w:rFonts w:ascii="宋体" w:hAnsi="宋体" w:eastAsia="宋体" w:cs="宋体"/>
                <w:szCs w:val="21"/>
              </w:rPr>
            </w:pPr>
            <w:r>
              <w:rPr>
                <w:rFonts w:hint="eastAsia" w:ascii="宋体" w:hAnsi="宋体" w:eastAsia="宋体" w:cs="宋体"/>
                <w:szCs w:val="21"/>
              </w:rPr>
              <w:t>要求支持文件实时监控，当文件被执行、生成、访问时，文件实时监控通过反病毒引擎对相应文件进行扫描。用户可以根据自己需求配置不同的扫描策略，包括扫描时机和反病毒引擎相关配置等，从而在不影响日常电脑使用的基础上，实时保护电脑不受病毒侵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要求支持恶意行为监控，通过监控程序运行过程中是否存在恶意操作来判断程序是否安全，从而可以作为传统特征查杀的补充，极大提升电脑反病毒能力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rPr>
                <w:rFonts w:ascii="宋体" w:hAnsi="宋体" w:eastAsia="宋体" w:cs="宋体"/>
              </w:rPr>
            </w:pPr>
          </w:p>
        </w:tc>
        <w:tc>
          <w:tcPr>
            <w:tcW w:w="7946" w:type="dxa"/>
          </w:tcPr>
          <w:p>
            <w:pPr>
              <w:tabs>
                <w:tab w:val="left" w:pos="1780"/>
              </w:tabs>
              <w:rPr>
                <w:rFonts w:ascii="宋体" w:hAnsi="宋体" w:eastAsia="宋体" w:cs="宋体"/>
                <w:szCs w:val="21"/>
              </w:rPr>
            </w:pPr>
            <w:r>
              <w:rPr>
                <w:rFonts w:hint="eastAsia" w:ascii="宋体" w:hAnsi="宋体" w:eastAsia="宋体" w:cs="微软雅黑"/>
                <w:szCs w:val="21"/>
              </w:rPr>
              <w:t>要求具有勒索病毒诱捕功能，根据恶意程序行为判断是否为未知恶意勒索病毒。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要求支持U盘保护，U盘接入电脑时自动扫描根目录下文件、自动扫描被病毒修改的项目，保护电脑不被感染。</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rPr>
                <w:rFonts w:ascii="宋体" w:hAnsi="宋体" w:eastAsia="宋体" w:cs="宋体"/>
              </w:rPr>
            </w:pPr>
          </w:p>
        </w:tc>
        <w:tc>
          <w:tcPr>
            <w:tcW w:w="7946" w:type="dxa"/>
            <w:vAlign w:val="center"/>
          </w:tcPr>
          <w:p>
            <w:pPr>
              <w:rPr>
                <w:rFonts w:ascii="宋体" w:hAnsi="宋体" w:eastAsia="宋体" w:cs="宋体"/>
                <w:szCs w:val="21"/>
              </w:rPr>
            </w:pPr>
            <w:r>
              <w:rPr>
                <w:rFonts w:hint="eastAsia" w:ascii="宋体" w:hAnsi="宋体" w:eastAsia="宋体" w:cs="宋体"/>
                <w:kern w:val="0"/>
                <w:szCs w:val="21"/>
              </w:rPr>
              <w:t>要求支持下载保护，对互联网、即时通讯软件或网盘等下载的文件进行扫描。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支持Web扫描，应用程序与网站服务器进行通讯时，Web 扫描功能会检测网站服务器返回的数据，并及时阻止其中的恶意代码。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支持邮件监控，实时监控邮件当中的附件是否有病毒，并且可以自行配置规则。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restart"/>
            <w:vAlign w:val="center"/>
          </w:tcPr>
          <w:p>
            <w:pPr>
              <w:jc w:val="center"/>
              <w:rPr>
                <w:rFonts w:ascii="宋体" w:hAnsi="宋体" w:eastAsia="宋体" w:cs="宋体"/>
              </w:rPr>
            </w:pPr>
            <w:r>
              <w:rPr>
                <w:rFonts w:hint="eastAsia" w:ascii="宋体" w:hAnsi="宋体" w:eastAsia="宋体" w:cs="宋体"/>
                <w:b/>
                <w:bCs/>
              </w:rPr>
              <w:t>网络防御</w:t>
            </w: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支持网络入侵拦截，拦截高危远程漏洞攻击，从而阻止勒索病毒、黑客攻击等通过响应漏洞入侵，可溯源到攻击源的地址，做出有效的动作，阻止病毒爆发。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支持对外攻击检测，检测内网机器对外攻击情况阻止并且记录。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kern w:val="0"/>
                <w:szCs w:val="21"/>
              </w:rPr>
              <w:t>★</w:t>
            </w:r>
            <w:r>
              <w:rPr>
                <w:rFonts w:hint="eastAsia" w:ascii="宋体" w:hAnsi="宋体" w:eastAsia="宋体" w:cs="宋体"/>
                <w:szCs w:val="21"/>
              </w:rPr>
              <w:t>要求</w:t>
            </w:r>
            <w:r>
              <w:rPr>
                <w:rFonts w:hint="eastAsia" w:ascii="宋体" w:hAnsi="宋体" w:eastAsia="宋体" w:cs="宋体"/>
                <w:kern w:val="0"/>
                <w:szCs w:val="21"/>
              </w:rPr>
              <w:t>支持远程登录防护， 针对弱口令账号的有效防御手段，阻止黑客通过暴力猜密码入侵电脑，可以有效的阻止基于RDP协议的入侵方式。</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微软雅黑"/>
                <w:b/>
                <w:bCs/>
                <w:szCs w:val="21"/>
              </w:rPr>
              <w:t>提供原厂盖章截图证明原件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kern w:val="0"/>
                <w:szCs w:val="21"/>
              </w:rPr>
              <w:t>★</w:t>
            </w:r>
            <w:r>
              <w:rPr>
                <w:rFonts w:hint="eastAsia" w:ascii="宋体" w:hAnsi="宋体" w:eastAsia="宋体" w:cs="宋体"/>
                <w:szCs w:val="21"/>
              </w:rPr>
              <w:t>要求</w:t>
            </w:r>
            <w:r>
              <w:rPr>
                <w:rFonts w:hint="eastAsia" w:ascii="宋体" w:hAnsi="宋体" w:eastAsia="宋体" w:cs="宋体"/>
                <w:kern w:val="0"/>
                <w:szCs w:val="21"/>
              </w:rPr>
              <w:t>支持僵尸网络防护，检测网络传输的数据包中是否包含远程控制代码，通过中断这些数据包传输以避免电脑被黑客远程控制。</w:t>
            </w:r>
            <w:r>
              <w:rPr>
                <w:rFonts w:hint="eastAsia" w:ascii="宋体" w:hAnsi="宋体" w:eastAsia="宋体" w:cs="微软雅黑"/>
                <w:szCs w:val="21"/>
              </w:rPr>
              <w:t>提供原厂盖章截图证明原件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kern w:val="0"/>
                <w:szCs w:val="21"/>
              </w:rPr>
              <w:t>★</w:t>
            </w:r>
            <w:r>
              <w:rPr>
                <w:rFonts w:hint="eastAsia" w:ascii="宋体" w:hAnsi="宋体" w:eastAsia="宋体" w:cs="宋体"/>
                <w:szCs w:val="21"/>
              </w:rPr>
              <w:t>要求</w:t>
            </w:r>
            <w:r>
              <w:rPr>
                <w:rFonts w:hint="eastAsia" w:ascii="宋体" w:hAnsi="宋体" w:eastAsia="宋体" w:cs="宋体"/>
                <w:kern w:val="0"/>
                <w:szCs w:val="21"/>
              </w:rPr>
              <w:t>支持暴破攻击防护，阻止黑客通过SMBv1、SMBv2、 RPC、SQLServer、PDP协议进行暴力破解攻击。</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微软雅黑"/>
                <w:b/>
                <w:bCs/>
                <w:szCs w:val="21"/>
              </w:rPr>
              <w:t>提供原厂盖章截图证明原件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支持Web服务保护，保护 Web 服务，阻止黑客针对高危Web服务进行漏洞渗透攻击。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kern w:val="0"/>
                <w:szCs w:val="21"/>
              </w:rPr>
              <w:t>★</w:t>
            </w:r>
            <w:r>
              <w:rPr>
                <w:rFonts w:hint="eastAsia" w:ascii="宋体" w:hAnsi="宋体" w:eastAsia="宋体" w:cs="微软雅黑"/>
                <w:szCs w:val="21"/>
              </w:rPr>
              <w:t>要求客户端具有“漏洞攻击拦截”精准识别攻击，可以在网络层成功防御攻击，并且精准识别攻击源的IP，方便网络管理员追踪溯源查找攻击机器。</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微软雅黑"/>
                <w:b/>
                <w:bCs/>
                <w:szCs w:val="21"/>
              </w:rPr>
              <w:t>提供原厂盖章截图证明原件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rPr>
                <w:rFonts w:ascii="宋体" w:hAnsi="宋体" w:eastAsia="宋体" w:cs="宋体"/>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支持恶意网站拦截，拦截网站中带有木马、欺诈、钓鱼、等程序的网站，保护用户利益。</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1647" w:type="dxa"/>
            <w:vMerge w:val="restart"/>
            <w:vAlign w:val="center"/>
          </w:tcPr>
          <w:p>
            <w:pPr>
              <w:jc w:val="center"/>
              <w:rPr>
                <w:rFonts w:ascii="宋体" w:hAnsi="宋体" w:eastAsia="宋体" w:cs="宋体"/>
              </w:rPr>
            </w:pPr>
            <w:r>
              <w:rPr>
                <w:rFonts w:hint="eastAsia" w:ascii="宋体" w:hAnsi="宋体" w:eastAsia="宋体" w:cs="宋体"/>
                <w:b/>
                <w:bCs/>
              </w:rPr>
              <w:t>系统防御</w:t>
            </w:r>
          </w:p>
        </w:tc>
        <w:tc>
          <w:tcPr>
            <w:tcW w:w="7946" w:type="dxa"/>
          </w:tcPr>
          <w:p>
            <w:pPr>
              <w:rPr>
                <w:rFonts w:ascii="宋体" w:hAnsi="宋体" w:eastAsia="宋体" w:cs="宋体"/>
                <w:szCs w:val="21"/>
              </w:rPr>
            </w:pPr>
            <w:r>
              <w:rPr>
                <w:rFonts w:hint="eastAsia" w:ascii="宋体" w:hAnsi="宋体" w:eastAsia="宋体" w:cs="宋体"/>
                <w:kern w:val="0"/>
                <w:szCs w:val="21"/>
              </w:rPr>
              <w:t>★</w:t>
            </w:r>
            <w:r>
              <w:rPr>
                <w:rFonts w:hint="eastAsia" w:ascii="宋体" w:hAnsi="宋体" w:eastAsia="宋体" w:cs="宋体"/>
                <w:szCs w:val="21"/>
              </w:rPr>
              <w:t>要求具备</w:t>
            </w:r>
            <w:r>
              <w:rPr>
                <w:rFonts w:hint="eastAsia" w:ascii="宋体" w:hAnsi="宋体" w:eastAsia="宋体" w:cs="宋体"/>
                <w:kern w:val="0"/>
                <w:szCs w:val="21"/>
              </w:rPr>
              <w:t>系统加固功能，针对病毒会利用或修改的系统脆弱点，设置相应的防护规则，有效保护系统关键文件不被篡改、破坏或恶意创建，防止特定注册表项目不被恶意篡改，监控针对系统的敏感行为，拦截高风险动作，阻止特定命令行被恶意利用的行为，保护系统关键进程不被攻击利用，针对病毒特殊行为进行免疫等。</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微软雅黑"/>
                <w:b/>
                <w:bCs/>
                <w:szCs w:val="21"/>
              </w:rPr>
              <w:t>提供原厂盖章截图证明原件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支持应用加固，通过对容易被恶意代码攻击的软件进行行为限制，防止这些软件被恶意代码利用。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支持软件捆绑安装拦截，对曾经被推广过或是本身带有捆绑行为的软件进行安装拦截。</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支持摄像头防护，任意电脑软件要启用摄像头时弹窗询问。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 w:hRule="atLeast"/>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支持浏览器防护，保护浏览器的主页不被病毒锁定，也可自行设置主页地址。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restart"/>
            <w:vAlign w:val="center"/>
          </w:tcPr>
          <w:p>
            <w:pPr>
              <w:jc w:val="center"/>
              <w:rPr>
                <w:rFonts w:ascii="宋体" w:hAnsi="宋体" w:eastAsia="宋体" w:cs="宋体"/>
                <w:b/>
                <w:bCs/>
              </w:rPr>
            </w:pPr>
            <w:r>
              <w:rPr>
                <w:rFonts w:hint="eastAsia" w:ascii="宋体" w:hAnsi="宋体" w:eastAsia="宋体" w:cs="宋体"/>
                <w:b/>
                <w:bCs/>
              </w:rPr>
              <w:t>访问控制</w:t>
            </w: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支持IP协议控制，根据内网中的安全状态，灵活配置IP协议以及端口，在病毒爆发的第一时间迅速利用IP协议控制来遏止病毒的扩散或入侵行为。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支持IP黑名单，添加需要限制的IP地址，当在黑名单中的IP地址对电脑进行访问时，自动阻止访问行为，并计入安全日志。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支持联网控制，自定义阻止某程序联网，自行管控电脑中所有程序是否联网。可通过文件sha1、文件路径方式配置。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支持网站内容控制，自定义限制计算机访问指定网址，达到屏蔽该网站的目的。限制访客访问不受信任的网站。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支持程序执行控制，自定义限制终端使用某软件；可通过文件sha1、文件路径方式配置。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支持设备控制，可对U盘（可限制读写权限、加密、使用范围）、便携设备、USB有线无线网卡、打印机、光驱、蓝牙等设备禁用。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5" w:hRule="atLeast"/>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kern w:val="0"/>
                <w:szCs w:val="21"/>
              </w:rPr>
              <w:t>★客户端内置</w:t>
            </w:r>
            <w:r>
              <w:rPr>
                <w:rFonts w:hint="eastAsia" w:ascii="宋体" w:hAnsi="宋体" w:eastAsia="宋体" w:cs="宋体"/>
                <w:szCs w:val="21"/>
              </w:rPr>
              <w:t>常见风险工具、远程控制工具、下载站下载器、对战平台、单机游戏等程序列表，具备一键开启阻止功能。</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微软雅黑"/>
                <w:b/>
                <w:bCs/>
                <w:szCs w:val="21"/>
              </w:rPr>
              <w:t>提供原厂盖章截图证明原件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5" w:hRule="atLeast"/>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要求具有U盘信任功能，当终端开启访问控制-设备控制-U盘设备时，可以通过在中心的“信任设备”功能来添加需要信任的移动存储设备，以允许该设备在任意终端使用。</w:t>
            </w:r>
            <w:r>
              <w:rPr>
                <w:rFonts w:hint="eastAsia" w:ascii="宋体" w:hAnsi="宋体" w:eastAsia="宋体" w:cs="微软雅黑"/>
                <w:szCs w:val="21"/>
              </w:rPr>
              <w:t>提供截图证明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要求支持对U盘注册的同时进行加密，即使U盘丢失，也可保护数据，防止数据泄露。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Align w:val="center"/>
          </w:tcPr>
          <w:p>
            <w:pPr>
              <w:jc w:val="center"/>
              <w:rPr>
                <w:rFonts w:ascii="宋体" w:hAnsi="宋体" w:eastAsia="宋体" w:cs="宋体"/>
                <w:b/>
                <w:bCs/>
              </w:rPr>
            </w:pPr>
            <w:r>
              <w:rPr>
                <w:rFonts w:hint="eastAsia" w:ascii="宋体" w:hAnsi="宋体" w:eastAsia="宋体" w:cs="宋体"/>
                <w:b/>
                <w:bCs/>
              </w:rPr>
              <w:t>安全工具</w:t>
            </w: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支持终端安全工具的使用管控，包括漏洞修复、系统修复、弹窗拦截、垃圾清理、文件粉碎、启动项管理、右键管理、断网修复、网络流量。提供原厂盖章的功能界面截图</w:t>
            </w:r>
            <w:r>
              <w:rPr>
                <w:rFonts w:hint="eastAsia" w:ascii="宋体" w:hAnsi="宋体" w:eastAsia="宋体" w:cs="微软雅黑"/>
                <w:szCs w:val="21"/>
              </w:rPr>
              <w:t>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restart"/>
            <w:vAlign w:val="center"/>
          </w:tcPr>
          <w:p>
            <w:pPr>
              <w:jc w:val="center"/>
              <w:rPr>
                <w:rFonts w:ascii="宋体" w:hAnsi="宋体" w:eastAsia="宋体" w:cs="宋体"/>
                <w:b/>
                <w:bCs/>
              </w:rPr>
            </w:pPr>
            <w:r>
              <w:rPr>
                <w:rFonts w:hint="eastAsia" w:ascii="宋体" w:hAnsi="宋体" w:eastAsia="宋体" w:cs="宋体"/>
                <w:b/>
                <w:bCs/>
              </w:rPr>
              <w:t>恶意代码库</w:t>
            </w: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病毒库一天一更新，紧急重大事故多次升级。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十万多种家族类型病毒，亿级别以上样本数量。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kern w:val="0"/>
                <w:szCs w:val="21"/>
              </w:rPr>
              <w:t>★</w:t>
            </w:r>
            <w:r>
              <w:rPr>
                <w:rFonts w:ascii="宋体" w:hAnsi="宋体" w:eastAsia="宋体" w:cs="微软雅黑"/>
                <w:szCs w:val="21"/>
              </w:rPr>
              <w:t>为保持恶意样本的丰富性与及时性，投标的产品具备同品牌的</w:t>
            </w:r>
            <w:r>
              <w:rPr>
                <w:rFonts w:hint="eastAsia" w:ascii="宋体" w:hAnsi="宋体" w:eastAsia="宋体" w:cs="微软雅黑"/>
                <w:szCs w:val="21"/>
              </w:rPr>
              <w:t>八</w:t>
            </w:r>
            <w:r>
              <w:rPr>
                <w:rFonts w:ascii="宋体" w:hAnsi="宋体" w:eastAsia="宋体" w:cs="微软雅黑"/>
                <w:szCs w:val="21"/>
              </w:rPr>
              <w:t>千万或以上的个人免费互联网终端活跃用户。</w:t>
            </w:r>
            <w:r>
              <w:rPr>
                <w:rFonts w:hint="eastAsia" w:ascii="宋体" w:hAnsi="宋体" w:eastAsia="宋体" w:cs="微软雅黑"/>
                <w:b/>
                <w:bCs/>
                <w:color w:val="auto"/>
                <w:sz w:val="21"/>
                <w:szCs w:val="21"/>
              </w:rPr>
              <w:t>中标后签合同前</w:t>
            </w:r>
            <w:r>
              <w:rPr>
                <w:rFonts w:hint="eastAsia" w:ascii="宋体" w:hAnsi="宋体" w:eastAsia="宋体" w:cs="微软雅黑"/>
                <w:b/>
                <w:bCs/>
                <w:color w:val="auto"/>
                <w:sz w:val="21"/>
                <w:szCs w:val="21"/>
                <w:lang w:eastAsia="zh-CN"/>
              </w:rPr>
              <w:t>，</w:t>
            </w:r>
            <w:r>
              <w:rPr>
                <w:rFonts w:hint="eastAsia" w:ascii="宋体" w:hAnsi="宋体" w:eastAsia="宋体" w:cs="微软雅黑"/>
                <w:b/>
                <w:bCs/>
                <w:szCs w:val="21"/>
              </w:rPr>
              <w:t>提供原厂盖章截图证明原件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restart"/>
            <w:vAlign w:val="center"/>
          </w:tcPr>
          <w:p>
            <w:pPr>
              <w:jc w:val="center"/>
              <w:rPr>
                <w:rFonts w:ascii="宋体" w:hAnsi="宋体" w:eastAsia="宋体" w:cs="宋体"/>
                <w:b/>
                <w:bCs/>
              </w:rPr>
            </w:pPr>
            <w:r>
              <w:rPr>
                <w:rFonts w:hint="eastAsia" w:ascii="宋体" w:hAnsi="宋体" w:eastAsia="宋体" w:cs="宋体"/>
                <w:b/>
                <w:bCs/>
              </w:rPr>
              <w:t>更新迭代</w:t>
            </w: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支持内网环境中心使用离线增量包更新病毒库与组件版本。</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支持断网内网环境使用离线升级工具进行病毒库、版本组件、补丁数据的更新升级。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tabs>
                <w:tab w:val="left" w:pos="2179"/>
              </w:tabs>
              <w:rPr>
                <w:rFonts w:ascii="宋体" w:hAnsi="宋体" w:eastAsia="宋体" w:cs="宋体"/>
                <w:szCs w:val="21"/>
              </w:rPr>
            </w:pPr>
            <w:r>
              <w:rPr>
                <w:rFonts w:hint="eastAsia" w:ascii="宋体" w:hAnsi="宋体" w:eastAsia="宋体" w:cs="微软雅黑"/>
                <w:szCs w:val="21"/>
              </w:rPr>
              <w:t>厂家自带的离线升级工具无需在控制中心服务器上运行，任意一台能够连接控制中心并能连接互联网的机器，就可以实现病毒库、程序版本和微软操作系统补丁等的更新。提供原厂盖章截图证明原件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ascii="宋体" w:hAnsi="宋体" w:eastAsia="宋体" w:cs="宋体"/>
                <w:szCs w:val="21"/>
              </w:rPr>
              <w:t>要求终端跟中心无法通信时，可以自动连接互联网获取更新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jc w:val="center"/>
              <w:rPr>
                <w:rFonts w:ascii="宋体" w:hAnsi="宋体" w:eastAsia="宋体" w:cs="宋体"/>
                <w:b/>
                <w:bCs/>
              </w:rPr>
            </w:pP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支持客户端主动升级及平台即时/定时推送升级。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Align w:val="center"/>
          </w:tcPr>
          <w:p>
            <w:pPr>
              <w:jc w:val="center"/>
              <w:rPr>
                <w:rFonts w:ascii="宋体" w:hAnsi="宋体" w:eastAsia="宋体" w:cs="宋体"/>
                <w:b/>
                <w:bCs/>
              </w:rPr>
            </w:pPr>
            <w:r>
              <w:rPr>
                <w:rFonts w:hint="eastAsia" w:ascii="宋体" w:hAnsi="宋体" w:eastAsia="宋体" w:cs="宋体"/>
                <w:b/>
                <w:bCs/>
              </w:rPr>
              <w:t>日志报表</w:t>
            </w:r>
          </w:p>
        </w:tc>
        <w:tc>
          <w:tcPr>
            <w:tcW w:w="7946" w:type="dxa"/>
          </w:tcPr>
          <w:p>
            <w:pPr>
              <w:rPr>
                <w:rFonts w:ascii="宋体" w:hAnsi="宋体" w:eastAsia="宋体" w:cs="宋体"/>
                <w:szCs w:val="21"/>
              </w:rPr>
            </w:pPr>
            <w:r>
              <w:rPr>
                <w:rFonts w:hint="eastAsia" w:ascii="宋体" w:hAnsi="宋体" w:eastAsia="宋体" w:cs="宋体"/>
                <w:szCs w:val="21"/>
              </w:rPr>
              <w:t>要求</w:t>
            </w:r>
            <w:r>
              <w:rPr>
                <w:rFonts w:hint="eastAsia" w:ascii="宋体" w:hAnsi="宋体" w:eastAsia="宋体" w:cs="宋体"/>
                <w:kern w:val="0"/>
                <w:szCs w:val="21"/>
              </w:rPr>
              <w:t>支持各类事件日志，包含病毒查杀日志、病毒防御事件日志、系统防御事件日志、网络防御事件日志、访问控制事件日志、漏洞修复事件日志、终端管理日志、系统管理日志。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restart"/>
            <w:vAlign w:val="center"/>
          </w:tcPr>
          <w:p>
            <w:pPr>
              <w:pStyle w:val="17"/>
              <w:jc w:val="center"/>
              <w:rPr>
                <w:rFonts w:ascii="宋体" w:hAnsi="宋体" w:eastAsia="宋体" w:cs="宋体"/>
                <w:b/>
                <w:bCs/>
                <w:color w:val="auto"/>
              </w:rPr>
            </w:pPr>
            <w:r>
              <w:rPr>
                <w:rFonts w:hint="eastAsia" w:ascii="宋体" w:hAnsi="宋体" w:eastAsia="宋体" w:cs="宋体"/>
                <w:b/>
                <w:bCs/>
                <w:color w:val="auto"/>
                <w:kern w:val="2"/>
                <w:sz w:val="21"/>
                <w:szCs w:val="22"/>
              </w:rPr>
              <w:t>服务</w:t>
            </w:r>
          </w:p>
        </w:tc>
        <w:tc>
          <w:tcPr>
            <w:tcW w:w="7946" w:type="dxa"/>
            <w:vAlign w:val="center"/>
          </w:tcPr>
          <w:p>
            <w:pPr>
              <w:pStyle w:val="17"/>
              <w:rPr>
                <w:rFonts w:ascii="宋体" w:hAnsi="宋体" w:eastAsia="宋体" w:cs="宋体"/>
                <w:color w:val="auto"/>
                <w:sz w:val="21"/>
                <w:szCs w:val="21"/>
              </w:rPr>
            </w:pPr>
            <w:r>
              <w:rPr>
                <w:rFonts w:hint="eastAsia" w:ascii="宋体" w:hAnsi="宋体" w:eastAsia="宋体" w:cs="微软雅黑"/>
                <w:color w:val="auto"/>
                <w:sz w:val="21"/>
                <w:szCs w:val="21"/>
              </w:rPr>
              <w:t>原厂官网具有“在线支持和响应中心”，工作时间30分钟内响应，将任务分派给技术、产品部门，直接帮用户解决问题，全程跟踪，直到问题解决。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pStyle w:val="17"/>
              <w:rPr>
                <w:rFonts w:ascii="宋体" w:hAnsi="宋体" w:eastAsia="宋体" w:cs="宋体"/>
                <w:b/>
                <w:bCs/>
                <w:color w:val="auto"/>
              </w:rPr>
            </w:pPr>
          </w:p>
        </w:tc>
        <w:tc>
          <w:tcPr>
            <w:tcW w:w="7946" w:type="dxa"/>
            <w:vAlign w:val="center"/>
          </w:tcPr>
          <w:p>
            <w:pPr>
              <w:pStyle w:val="17"/>
              <w:rPr>
                <w:rFonts w:ascii="宋体" w:hAnsi="宋体" w:eastAsia="宋体" w:cs="微软雅黑"/>
                <w:color w:val="auto"/>
                <w:sz w:val="21"/>
                <w:szCs w:val="21"/>
              </w:rPr>
            </w:pPr>
            <w:r>
              <w:rPr>
                <w:rFonts w:ascii="宋体" w:hAnsi="宋体" w:eastAsia="宋体" w:cs="微软雅黑"/>
                <w:color w:val="auto"/>
                <w:sz w:val="21"/>
                <w:szCs w:val="21"/>
              </w:rPr>
              <w:t>为保障用户隐私安全，查杀防御的同时，产生的日志记录仅存储在本地，不回传任何数据。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Merge w:val="continue"/>
            <w:vAlign w:val="center"/>
          </w:tcPr>
          <w:p>
            <w:pPr>
              <w:pStyle w:val="17"/>
              <w:rPr>
                <w:rFonts w:ascii="宋体" w:hAnsi="宋体" w:eastAsia="宋体" w:cs="宋体"/>
                <w:b/>
                <w:bCs/>
                <w:color w:val="auto"/>
              </w:rPr>
            </w:pPr>
          </w:p>
        </w:tc>
        <w:tc>
          <w:tcPr>
            <w:tcW w:w="7946" w:type="dxa"/>
            <w:vAlign w:val="center"/>
          </w:tcPr>
          <w:p>
            <w:pPr>
              <w:pStyle w:val="17"/>
              <w:rPr>
                <w:rFonts w:ascii="宋体" w:hAnsi="宋体" w:eastAsia="宋体" w:cs="宋体"/>
                <w:color w:val="auto"/>
                <w:sz w:val="21"/>
                <w:szCs w:val="21"/>
              </w:rPr>
            </w:pPr>
            <w:r>
              <w:rPr>
                <w:rFonts w:hint="eastAsia" w:ascii="宋体" w:hAnsi="宋体" w:eastAsia="宋体" w:cs="微软雅黑"/>
                <w:color w:val="auto"/>
                <w:sz w:val="21"/>
                <w:szCs w:val="21"/>
              </w:rPr>
              <w:t>应建立病毒跟踪、研究和支持响应体系，有强大的本地化技术支持力量，为客户提供完善、即时的售后服务。保证网络系统在遭遇新型病毒或突发情况下得到及时响应。</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Align w:val="center"/>
          </w:tcPr>
          <w:p>
            <w:pPr>
              <w:pStyle w:val="17"/>
              <w:rPr>
                <w:rFonts w:ascii="宋体" w:hAnsi="宋体" w:eastAsia="宋体" w:cs="宋体"/>
                <w:b/>
                <w:bCs/>
                <w:color w:val="auto"/>
              </w:rPr>
            </w:pPr>
            <w:r>
              <w:rPr>
                <w:rFonts w:hint="eastAsia" w:ascii="宋体" w:hAnsi="宋体" w:eastAsia="宋体" w:cs="宋体"/>
                <w:b/>
                <w:bCs/>
                <w:color w:val="auto"/>
              </w:rPr>
              <w:t>产品证书</w:t>
            </w:r>
          </w:p>
        </w:tc>
        <w:tc>
          <w:tcPr>
            <w:tcW w:w="7946" w:type="dxa"/>
            <w:vAlign w:val="center"/>
          </w:tcPr>
          <w:p>
            <w:pPr>
              <w:pStyle w:val="17"/>
              <w:rPr>
                <w:rFonts w:ascii="宋体" w:hAnsi="宋体" w:eastAsia="宋体" w:cs="微软雅黑"/>
                <w:color w:val="auto"/>
                <w:sz w:val="21"/>
                <w:szCs w:val="21"/>
              </w:rPr>
            </w:pPr>
            <w:r>
              <w:rPr>
                <w:rFonts w:hint="eastAsia" w:ascii="宋体" w:hAnsi="宋体" w:eastAsia="宋体" w:cs="微软雅黑"/>
                <w:color w:val="auto"/>
                <w:sz w:val="21"/>
                <w:szCs w:val="21"/>
              </w:rPr>
              <w:t>要求具备《网络安全专用产品安全检测报告》《计算机软件著作权登记证书》《网络安全专用产品安全检测证书》。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47" w:type="dxa"/>
            <w:vAlign w:val="center"/>
          </w:tcPr>
          <w:p>
            <w:pPr>
              <w:pStyle w:val="17"/>
              <w:jc w:val="center"/>
              <w:rPr>
                <w:rFonts w:ascii="宋体" w:hAnsi="宋体" w:eastAsia="宋体" w:cs="宋体"/>
                <w:b/>
                <w:bCs/>
                <w:color w:val="auto"/>
              </w:rPr>
            </w:pPr>
            <w:r>
              <w:rPr>
                <w:rFonts w:hint="eastAsia" w:ascii="宋体" w:hAnsi="宋体" w:eastAsia="宋体" w:cs="宋体"/>
                <w:b/>
                <w:bCs/>
                <w:color w:val="auto"/>
                <w:kern w:val="2"/>
                <w:sz w:val="21"/>
                <w:szCs w:val="22"/>
              </w:rPr>
              <w:t>★其他</w:t>
            </w:r>
          </w:p>
        </w:tc>
        <w:tc>
          <w:tcPr>
            <w:tcW w:w="7946" w:type="dxa"/>
          </w:tcPr>
          <w:p>
            <w:pPr>
              <w:pStyle w:val="17"/>
              <w:rPr>
                <w:rFonts w:ascii="宋体" w:hAnsi="宋体" w:eastAsia="宋体" w:cs="宋体"/>
                <w:color w:val="auto"/>
                <w:sz w:val="21"/>
                <w:szCs w:val="21"/>
              </w:rPr>
            </w:pPr>
            <w:r>
              <w:rPr>
                <w:rFonts w:hint="eastAsia" w:ascii="宋体" w:hAnsi="宋体" w:eastAsia="宋体" w:cs="宋体"/>
                <w:color w:val="auto"/>
                <w:sz w:val="21"/>
                <w:szCs w:val="21"/>
              </w:rPr>
              <w:t>1、为保障用户利益，中标单位应在签订采购合同之前到达采购人测试主要指标功能是否满足项目建设的需求，对于提供虚假参数强行中标的行为，经测试查实后取消其中标资格，并按相关要求赔偿采购方相关损失。</w:t>
            </w:r>
          </w:p>
          <w:p>
            <w:pPr>
              <w:rPr>
                <w:rFonts w:ascii="宋体" w:hAnsi="宋体" w:eastAsia="宋体" w:cs="宋体"/>
              </w:rPr>
            </w:pPr>
            <w:r>
              <w:rPr>
                <w:rFonts w:hint="eastAsia" w:ascii="宋体" w:hAnsi="宋体" w:eastAsia="宋体" w:cs="宋体"/>
                <w:szCs w:val="21"/>
              </w:rPr>
              <w:t>2、</w:t>
            </w:r>
            <w:r>
              <w:rPr>
                <w:rFonts w:hint="eastAsia" w:ascii="宋体" w:hAnsi="宋体" w:eastAsia="宋体" w:cs="宋体"/>
              </w:rPr>
              <w:t>中标企业在中标公示期间、签订合同前必须提供原厂商盖章针对本次项目的授权书原件、原厂盖章的售后服务承诺函原件、原厂盖章功能截图证明原件。</w:t>
            </w:r>
          </w:p>
          <w:p>
            <w:pPr>
              <w:rPr>
                <w:rFonts w:cs="宋体"/>
                <w:szCs w:val="21"/>
              </w:rPr>
            </w:pPr>
            <w:r>
              <w:rPr>
                <w:rFonts w:ascii="宋体" w:hAnsi="宋体" w:eastAsia="宋体" w:cs="宋体"/>
              </w:rPr>
              <w:t>3、供货时，软件授权名称须为项目使用人“</w:t>
            </w:r>
            <w:r>
              <w:rPr>
                <w:rFonts w:hint="eastAsia" w:ascii="宋体" w:hAnsi="宋体" w:eastAsia="宋体" w:cs="宋体"/>
              </w:rPr>
              <w:t>台州市路桥区中医院医疗服务共同体</w:t>
            </w:r>
            <w:r>
              <w:rPr>
                <w:rFonts w:ascii="宋体" w:hAnsi="宋体" w:eastAsia="宋体" w:cs="宋体"/>
              </w:rPr>
              <w:t xml:space="preserve">”，并能通过序列号查验，以免软件版权导致法律问题。 </w:t>
            </w:r>
          </w:p>
        </w:tc>
      </w:tr>
    </w:tbl>
    <w:p>
      <w:pPr>
        <w:pStyle w:val="3"/>
        <w:spacing w:before="0" w:after="0" w:line="360" w:lineRule="auto"/>
        <w:rPr>
          <w:rFonts w:ascii="宋体" w:hAnsi="宋体" w:eastAsia="宋体"/>
          <w:sz w:val="30"/>
          <w:szCs w:val="30"/>
        </w:rPr>
      </w:pPr>
      <w:r>
        <w:rPr>
          <w:rFonts w:hint="eastAsia" w:ascii="宋体" w:hAnsi="宋体" w:eastAsia="宋体"/>
          <w:sz w:val="30"/>
          <w:szCs w:val="30"/>
        </w:rPr>
        <w:t>三、项目实施要求</w:t>
      </w:r>
    </w:p>
    <w:p>
      <w:pPr>
        <w:spacing w:line="360" w:lineRule="auto"/>
        <w:ind w:firstLine="480" w:firstLineChars="200"/>
        <w:rPr>
          <w:rFonts w:ascii="宋体" w:hAnsi="宋体" w:eastAsia="宋体" w:cs="宋体"/>
          <w:sz w:val="24"/>
        </w:rPr>
      </w:pPr>
      <w:r>
        <w:rPr>
          <w:rFonts w:hint="eastAsia" w:ascii="宋体" w:hAnsi="宋体" w:eastAsia="宋体" w:cs="宋体"/>
          <w:sz w:val="24"/>
        </w:rPr>
        <w:t>1、投标人有责任检查安装现场是否符合产品安装条件。</w:t>
      </w:r>
    </w:p>
    <w:p>
      <w:pPr>
        <w:spacing w:line="360" w:lineRule="auto"/>
        <w:ind w:firstLine="480" w:firstLineChars="200"/>
        <w:rPr>
          <w:rFonts w:ascii="宋体" w:hAnsi="宋体" w:eastAsia="宋体" w:cs="宋体"/>
          <w:sz w:val="24"/>
        </w:rPr>
      </w:pPr>
      <w:r>
        <w:rPr>
          <w:rFonts w:hint="eastAsia" w:ascii="宋体" w:hAnsi="宋体" w:eastAsia="宋体" w:cs="宋体"/>
          <w:sz w:val="24"/>
        </w:rPr>
        <w:t>2、投标人应承担投标产品的安装、测试和有关配置工作，进行实际的测试。</w:t>
      </w:r>
    </w:p>
    <w:p>
      <w:pPr>
        <w:spacing w:line="360" w:lineRule="auto"/>
        <w:ind w:firstLine="480" w:firstLineChars="200"/>
        <w:rPr>
          <w:rFonts w:ascii="宋体" w:hAnsi="宋体" w:eastAsia="宋体" w:cs="宋体"/>
          <w:sz w:val="24"/>
        </w:rPr>
      </w:pPr>
      <w:r>
        <w:rPr>
          <w:rFonts w:ascii="宋体" w:hAnsi="宋体" w:eastAsia="宋体" w:cs="宋体"/>
          <w:sz w:val="24"/>
        </w:rPr>
        <w:t>3、投标人应根据采购人的详细需求，提交实施方案得到采购人确认后实施，保证系统按时、正常地投入运行。</w:t>
      </w:r>
    </w:p>
    <w:p>
      <w:pPr>
        <w:spacing w:line="360" w:lineRule="auto"/>
        <w:ind w:firstLine="480" w:firstLineChars="200"/>
        <w:rPr>
          <w:rFonts w:ascii="宋体" w:hAnsi="宋体" w:eastAsia="宋体" w:cs="宋体"/>
          <w:sz w:val="24"/>
        </w:rPr>
      </w:pPr>
      <w:r>
        <w:rPr>
          <w:rFonts w:ascii="宋体" w:hAnsi="宋体" w:eastAsia="宋体" w:cs="宋体"/>
          <w:sz w:val="24"/>
        </w:rPr>
        <w:t>4</w:t>
      </w:r>
      <w:r>
        <w:rPr>
          <w:rFonts w:hint="eastAsia" w:ascii="宋体" w:hAnsi="宋体" w:eastAsia="宋体" w:cs="宋体"/>
          <w:sz w:val="24"/>
        </w:rPr>
        <w:t>、产品实施过程中，如果牵涉到与第三方产品集成工作，投标人应与其他相关单位通力合作，并提供必要的技术支持。</w:t>
      </w:r>
    </w:p>
    <w:p>
      <w:pPr>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hint="eastAsia" w:ascii="宋体" w:hAnsi="宋体" w:eastAsia="宋体" w:cs="宋体"/>
          <w:sz w:val="24"/>
        </w:rPr>
        <w:t>、</w:t>
      </w:r>
      <w:r>
        <w:rPr>
          <w:rFonts w:ascii="宋体" w:hAnsi="宋体" w:eastAsia="宋体" w:cs="宋体"/>
          <w:sz w:val="24"/>
        </w:rPr>
        <w:t>在安装调试过程中，由于投标人原因造成的软硬件缺损由投标人负责补充、更换。</w:t>
      </w:r>
    </w:p>
    <w:p>
      <w:pPr>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hint="eastAsia" w:ascii="宋体" w:hAnsi="宋体" w:eastAsia="宋体" w:cs="宋体"/>
          <w:sz w:val="24"/>
        </w:rPr>
        <w:t>、</w:t>
      </w:r>
      <w:r>
        <w:rPr>
          <w:rFonts w:ascii="宋体" w:hAnsi="宋体" w:eastAsia="宋体" w:cs="宋体"/>
          <w:sz w:val="24"/>
        </w:rPr>
        <w:t>安装调试完成后，投标人应向采购方提供安装、调试报告，应包括下列内容：系统配置信息细节、安装调试结果、安装调试过程中出现的问题及解决办法。</w:t>
      </w:r>
    </w:p>
    <w:p>
      <w:pPr>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hint="eastAsia" w:ascii="宋体" w:hAnsi="宋体" w:eastAsia="宋体" w:cs="宋体"/>
          <w:sz w:val="24"/>
        </w:rPr>
        <w:t>、</w:t>
      </w:r>
      <w:r>
        <w:rPr>
          <w:rFonts w:ascii="宋体" w:hAnsi="宋体" w:eastAsia="宋体" w:cs="宋体"/>
          <w:sz w:val="24"/>
        </w:rPr>
        <w:t>在安装、调试过程中,投标人应对采购方技术人员所提出的技术问题给予满意的答复。并向采购方提供安装调试过程中的各种文档资料,以便采购方今后能掌握操作方法和维护方法。</w:t>
      </w:r>
    </w:p>
    <w:p>
      <w:pPr>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hint="eastAsia" w:ascii="宋体" w:hAnsi="宋体" w:eastAsia="宋体" w:cs="宋体"/>
          <w:sz w:val="24"/>
        </w:rPr>
        <w:t>、</w:t>
      </w:r>
      <w:r>
        <w:rPr>
          <w:rFonts w:ascii="宋体" w:hAnsi="宋体" w:eastAsia="宋体" w:cs="宋体"/>
          <w:sz w:val="24"/>
        </w:rPr>
        <w:t>要求工程实施过程中提供</w:t>
      </w:r>
      <w:r>
        <w:rPr>
          <w:rFonts w:hint="eastAsia" w:ascii="宋体" w:hAnsi="宋体" w:eastAsia="宋体" w:cs="宋体"/>
          <w:sz w:val="24"/>
        </w:rPr>
        <w:t>产品</w:t>
      </w:r>
      <w:r>
        <w:rPr>
          <w:rFonts w:ascii="宋体" w:hAnsi="宋体" w:eastAsia="宋体" w:cs="宋体"/>
          <w:sz w:val="24"/>
        </w:rPr>
        <w:t>原厂商工程师现场服务。</w:t>
      </w:r>
    </w:p>
    <w:p>
      <w:pPr>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9</w:t>
      </w:r>
      <w:r>
        <w:rPr>
          <w:rFonts w:hint="eastAsia" w:ascii="宋体" w:hAnsi="宋体" w:eastAsia="宋体" w:cs="宋体"/>
          <w:sz w:val="24"/>
        </w:rPr>
        <w:t>、采购人有权监督和管理投标项目的测试、安装、调试、故障诊断、系统建设和验收等各项工作，投标人需接受并服从采购人的监督、管理要求。</w:t>
      </w:r>
    </w:p>
    <w:p>
      <w:pPr>
        <w:pStyle w:val="3"/>
        <w:spacing w:before="0" w:after="0" w:line="360" w:lineRule="auto"/>
        <w:rPr>
          <w:rFonts w:ascii="宋体" w:hAnsi="宋体" w:eastAsia="宋体"/>
          <w:sz w:val="30"/>
          <w:szCs w:val="30"/>
        </w:rPr>
      </w:pPr>
      <w:r>
        <w:rPr>
          <w:rFonts w:hint="eastAsia" w:ascii="宋体" w:hAnsi="宋体" w:eastAsia="宋体"/>
          <w:sz w:val="30"/>
          <w:szCs w:val="30"/>
        </w:rPr>
        <w:t>四、项目人员培训要求</w:t>
      </w:r>
    </w:p>
    <w:p>
      <w:pPr>
        <w:spacing w:line="360" w:lineRule="auto"/>
        <w:ind w:firstLine="480" w:firstLineChars="200"/>
        <w:rPr>
          <w:rFonts w:ascii="宋体" w:hAnsi="宋体" w:eastAsia="宋体" w:cs="宋体"/>
          <w:sz w:val="24"/>
        </w:rPr>
      </w:pPr>
      <w:r>
        <w:rPr>
          <w:rFonts w:hint="eastAsia" w:ascii="宋体" w:hAnsi="宋体" w:eastAsia="宋体" w:cs="宋体"/>
          <w:sz w:val="24"/>
        </w:rPr>
        <w:t>培训工作是整个系统得以正常运行的关键，除了对普通业务人员的专项培训以外，应对系统维护人员进行系统维护的培训。具体培训要求如下：</w:t>
      </w:r>
    </w:p>
    <w:p>
      <w:pPr>
        <w:spacing w:line="360" w:lineRule="auto"/>
        <w:ind w:firstLine="480" w:firstLineChars="200"/>
        <w:rPr>
          <w:rFonts w:ascii="宋体" w:hAnsi="宋体" w:eastAsia="宋体" w:cs="宋体"/>
          <w:sz w:val="24"/>
        </w:rPr>
      </w:pPr>
      <w:r>
        <w:rPr>
          <w:rFonts w:ascii="宋体" w:hAnsi="宋体" w:eastAsia="宋体" w:cs="宋体"/>
          <w:sz w:val="24"/>
        </w:rPr>
        <w:t>1、要求中标人免费对采购人技术人员进行全面的技术培训；培训目的是使采购人达到能够独立进行管理、运营、故障发现、日常维护等工作，使所购</w:t>
      </w:r>
      <w:r>
        <w:rPr>
          <w:rFonts w:hint="eastAsia" w:ascii="宋体" w:hAnsi="宋体" w:eastAsia="宋体" w:cs="宋体"/>
          <w:sz w:val="24"/>
        </w:rPr>
        <w:t>产品</w:t>
      </w:r>
      <w:r>
        <w:rPr>
          <w:rFonts w:ascii="宋体" w:hAnsi="宋体" w:eastAsia="宋体" w:cs="宋体"/>
          <w:sz w:val="24"/>
        </w:rPr>
        <w:t>能够正常、安全运行。</w:t>
      </w:r>
    </w:p>
    <w:p>
      <w:pPr>
        <w:spacing w:line="360" w:lineRule="auto"/>
        <w:ind w:firstLine="480" w:firstLineChars="200"/>
        <w:rPr>
          <w:rFonts w:ascii="宋体" w:hAnsi="宋体" w:eastAsia="宋体" w:cs="宋体"/>
          <w:sz w:val="24"/>
        </w:rPr>
      </w:pPr>
      <w:r>
        <w:rPr>
          <w:rFonts w:ascii="宋体" w:hAnsi="宋体" w:eastAsia="宋体" w:cs="宋体"/>
          <w:sz w:val="24"/>
        </w:rPr>
        <w:t>2、应该根据项目进度进行相关层次的培训。在项目现场，通过对所提供</w:t>
      </w:r>
      <w:r>
        <w:rPr>
          <w:rFonts w:hint="eastAsia" w:ascii="宋体" w:hAnsi="宋体" w:eastAsia="宋体" w:cs="宋体"/>
          <w:sz w:val="24"/>
        </w:rPr>
        <w:t>产品</w:t>
      </w:r>
      <w:r>
        <w:rPr>
          <w:rFonts w:ascii="宋体" w:hAnsi="宋体" w:eastAsia="宋体" w:cs="宋体"/>
          <w:sz w:val="24"/>
        </w:rPr>
        <w:t>的结构、原理、安装技术和实际操作的讲解，让采购人了解系统架构、具体功能的原理、调试细节，为后期维护打好基础。</w:t>
      </w:r>
    </w:p>
    <w:p>
      <w:pPr>
        <w:spacing w:line="360" w:lineRule="auto"/>
        <w:ind w:firstLine="480" w:firstLineChars="200"/>
        <w:rPr>
          <w:rFonts w:ascii="宋体" w:hAnsi="宋体" w:eastAsia="宋体" w:cs="宋体"/>
          <w:sz w:val="24"/>
        </w:rPr>
      </w:pPr>
      <w:r>
        <w:rPr>
          <w:rFonts w:ascii="宋体" w:hAnsi="宋体" w:eastAsia="宋体" w:cs="宋体"/>
          <w:sz w:val="24"/>
        </w:rPr>
        <w:t>3、项目实施完成后，根据所有实施结果整理相关文档，进行后期维护方面的技术培训，使采购人具有独立进行产品管理、纠错处理和故障排除的能力，以保证系统运行后的正常安全运行。</w:t>
      </w:r>
    </w:p>
    <w:p>
      <w:pPr>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ascii="宋体" w:hAnsi="宋体" w:eastAsia="宋体" w:cs="宋体"/>
          <w:sz w:val="24"/>
        </w:rPr>
        <w:t>、技术培训的内容应包含</w:t>
      </w:r>
      <w:r>
        <w:rPr>
          <w:rFonts w:hint="eastAsia" w:ascii="宋体" w:hAnsi="宋体" w:eastAsia="宋体" w:cs="宋体"/>
          <w:sz w:val="24"/>
        </w:rPr>
        <w:t>产品</w:t>
      </w:r>
      <w:r>
        <w:rPr>
          <w:rFonts w:ascii="宋体" w:hAnsi="宋体" w:eastAsia="宋体" w:cs="宋体"/>
          <w:sz w:val="24"/>
        </w:rPr>
        <w:t>的日常操作和管理维护，以及基本的故障诊断与排错。</w:t>
      </w:r>
    </w:p>
    <w:p>
      <w:pPr>
        <w:spacing w:line="360" w:lineRule="auto"/>
        <w:rPr>
          <w:rFonts w:ascii="宋体" w:hAnsi="宋体" w:eastAsia="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0765261"/>
      <w:docPartObj>
        <w:docPartGallery w:val="autotext"/>
      </w:docPartObj>
    </w:sdtPr>
    <w:sdtContent>
      <w:p>
        <w:pPr>
          <w:pStyle w:val="9"/>
          <w:jc w:val="right"/>
        </w:pPr>
        <w:r>
          <w:fldChar w:fldCharType="begin"/>
        </w:r>
        <w:r>
          <w:instrText xml:space="preserve">PAGE   \* MERGEFORMAT</w:instrText>
        </w:r>
        <w:r>
          <w:fldChar w:fldCharType="separate"/>
        </w:r>
        <w:r>
          <w:rPr>
            <w:lang w:val="zh-CN"/>
          </w:rPr>
          <w:t>9</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4YWU2MjZiOTkyYzRiMTM1NzczNGE4M2FmNThlNTUifQ=="/>
  </w:docVars>
  <w:rsids>
    <w:rsidRoot w:val="00DD3217"/>
    <w:rsid w:val="0001256A"/>
    <w:rsid w:val="00021D4C"/>
    <w:rsid w:val="0003477E"/>
    <w:rsid w:val="00034A9D"/>
    <w:rsid w:val="00075693"/>
    <w:rsid w:val="000809F2"/>
    <w:rsid w:val="00080FD1"/>
    <w:rsid w:val="0009594D"/>
    <w:rsid w:val="000A3D70"/>
    <w:rsid w:val="000B3463"/>
    <w:rsid w:val="000C36F5"/>
    <w:rsid w:val="000D6E54"/>
    <w:rsid w:val="000E14A9"/>
    <w:rsid w:val="000F3CC5"/>
    <w:rsid w:val="00112D64"/>
    <w:rsid w:val="00143B3C"/>
    <w:rsid w:val="00152641"/>
    <w:rsid w:val="00163BEF"/>
    <w:rsid w:val="00185BE4"/>
    <w:rsid w:val="001915E9"/>
    <w:rsid w:val="00191D86"/>
    <w:rsid w:val="00194B5D"/>
    <w:rsid w:val="001A5C35"/>
    <w:rsid w:val="001B6718"/>
    <w:rsid w:val="001C6CCD"/>
    <w:rsid w:val="001C7552"/>
    <w:rsid w:val="001D3BCA"/>
    <w:rsid w:val="001E2F58"/>
    <w:rsid w:val="001E4C0B"/>
    <w:rsid w:val="00215254"/>
    <w:rsid w:val="00242766"/>
    <w:rsid w:val="0025438D"/>
    <w:rsid w:val="002843FA"/>
    <w:rsid w:val="00286737"/>
    <w:rsid w:val="002B6294"/>
    <w:rsid w:val="002C1CD3"/>
    <w:rsid w:val="002E2374"/>
    <w:rsid w:val="002E3B18"/>
    <w:rsid w:val="002E4153"/>
    <w:rsid w:val="002F1473"/>
    <w:rsid w:val="003041F9"/>
    <w:rsid w:val="003109ED"/>
    <w:rsid w:val="003273E6"/>
    <w:rsid w:val="00351325"/>
    <w:rsid w:val="0035303A"/>
    <w:rsid w:val="003722E8"/>
    <w:rsid w:val="00382C77"/>
    <w:rsid w:val="00397CC8"/>
    <w:rsid w:val="003A57B8"/>
    <w:rsid w:val="003A7282"/>
    <w:rsid w:val="003F654F"/>
    <w:rsid w:val="00403953"/>
    <w:rsid w:val="0043307E"/>
    <w:rsid w:val="00437C81"/>
    <w:rsid w:val="00441776"/>
    <w:rsid w:val="004900C1"/>
    <w:rsid w:val="00495007"/>
    <w:rsid w:val="00496207"/>
    <w:rsid w:val="004A736E"/>
    <w:rsid w:val="004B1BC7"/>
    <w:rsid w:val="004B7BAC"/>
    <w:rsid w:val="004C75FA"/>
    <w:rsid w:val="004D0267"/>
    <w:rsid w:val="004D6B2E"/>
    <w:rsid w:val="004E1271"/>
    <w:rsid w:val="004E2647"/>
    <w:rsid w:val="004E78EC"/>
    <w:rsid w:val="005045E3"/>
    <w:rsid w:val="00506772"/>
    <w:rsid w:val="00511709"/>
    <w:rsid w:val="0051550A"/>
    <w:rsid w:val="00516E1A"/>
    <w:rsid w:val="005264E3"/>
    <w:rsid w:val="00552A30"/>
    <w:rsid w:val="00564F81"/>
    <w:rsid w:val="00573ED7"/>
    <w:rsid w:val="00574279"/>
    <w:rsid w:val="005748B3"/>
    <w:rsid w:val="0057610C"/>
    <w:rsid w:val="0059356F"/>
    <w:rsid w:val="00595F39"/>
    <w:rsid w:val="005B3490"/>
    <w:rsid w:val="005D79E0"/>
    <w:rsid w:val="005E0333"/>
    <w:rsid w:val="005E1102"/>
    <w:rsid w:val="00613E27"/>
    <w:rsid w:val="00620961"/>
    <w:rsid w:val="00623447"/>
    <w:rsid w:val="006370B4"/>
    <w:rsid w:val="00661483"/>
    <w:rsid w:val="00696653"/>
    <w:rsid w:val="006A1304"/>
    <w:rsid w:val="006A5ECC"/>
    <w:rsid w:val="006A708F"/>
    <w:rsid w:val="006A7E23"/>
    <w:rsid w:val="006B5B65"/>
    <w:rsid w:val="006E2585"/>
    <w:rsid w:val="0073412F"/>
    <w:rsid w:val="0074081D"/>
    <w:rsid w:val="00747C8E"/>
    <w:rsid w:val="00752682"/>
    <w:rsid w:val="00765200"/>
    <w:rsid w:val="0078325F"/>
    <w:rsid w:val="0078386A"/>
    <w:rsid w:val="00784254"/>
    <w:rsid w:val="00785276"/>
    <w:rsid w:val="007900C0"/>
    <w:rsid w:val="007A1E91"/>
    <w:rsid w:val="007B2950"/>
    <w:rsid w:val="007C49CF"/>
    <w:rsid w:val="007E2E59"/>
    <w:rsid w:val="008004A2"/>
    <w:rsid w:val="00804EA9"/>
    <w:rsid w:val="00816DCF"/>
    <w:rsid w:val="00820662"/>
    <w:rsid w:val="00826A70"/>
    <w:rsid w:val="00831C58"/>
    <w:rsid w:val="00832B51"/>
    <w:rsid w:val="008425C9"/>
    <w:rsid w:val="00870740"/>
    <w:rsid w:val="00876491"/>
    <w:rsid w:val="00886CE4"/>
    <w:rsid w:val="00892ED4"/>
    <w:rsid w:val="00893B53"/>
    <w:rsid w:val="008A3557"/>
    <w:rsid w:val="008B3433"/>
    <w:rsid w:val="008B5066"/>
    <w:rsid w:val="008F0EA1"/>
    <w:rsid w:val="008F4C30"/>
    <w:rsid w:val="0090735E"/>
    <w:rsid w:val="00913FD1"/>
    <w:rsid w:val="00924ADD"/>
    <w:rsid w:val="00940580"/>
    <w:rsid w:val="00953372"/>
    <w:rsid w:val="00954B3F"/>
    <w:rsid w:val="0096046A"/>
    <w:rsid w:val="00987B3D"/>
    <w:rsid w:val="009C05FD"/>
    <w:rsid w:val="009D7506"/>
    <w:rsid w:val="009E2F6F"/>
    <w:rsid w:val="009E4080"/>
    <w:rsid w:val="009F5E77"/>
    <w:rsid w:val="00A071D4"/>
    <w:rsid w:val="00A07F99"/>
    <w:rsid w:val="00A21849"/>
    <w:rsid w:val="00A34C9D"/>
    <w:rsid w:val="00A43614"/>
    <w:rsid w:val="00A44709"/>
    <w:rsid w:val="00A512D8"/>
    <w:rsid w:val="00A54280"/>
    <w:rsid w:val="00A54781"/>
    <w:rsid w:val="00A6496A"/>
    <w:rsid w:val="00A95963"/>
    <w:rsid w:val="00AA3105"/>
    <w:rsid w:val="00AA49C8"/>
    <w:rsid w:val="00AA6B79"/>
    <w:rsid w:val="00AC50BE"/>
    <w:rsid w:val="00AC7DC1"/>
    <w:rsid w:val="00AD10D2"/>
    <w:rsid w:val="00AD40AD"/>
    <w:rsid w:val="00AE48D5"/>
    <w:rsid w:val="00AF1674"/>
    <w:rsid w:val="00AF1EC1"/>
    <w:rsid w:val="00B015AB"/>
    <w:rsid w:val="00B0380B"/>
    <w:rsid w:val="00B10047"/>
    <w:rsid w:val="00B10D1C"/>
    <w:rsid w:val="00B1139D"/>
    <w:rsid w:val="00B356B5"/>
    <w:rsid w:val="00B4198F"/>
    <w:rsid w:val="00B45014"/>
    <w:rsid w:val="00B45289"/>
    <w:rsid w:val="00B452EA"/>
    <w:rsid w:val="00B62430"/>
    <w:rsid w:val="00B72DA2"/>
    <w:rsid w:val="00B743B5"/>
    <w:rsid w:val="00B75846"/>
    <w:rsid w:val="00B94ED5"/>
    <w:rsid w:val="00B96306"/>
    <w:rsid w:val="00B963E6"/>
    <w:rsid w:val="00BE5BE2"/>
    <w:rsid w:val="00BF4217"/>
    <w:rsid w:val="00C33C31"/>
    <w:rsid w:val="00C40A82"/>
    <w:rsid w:val="00C50A86"/>
    <w:rsid w:val="00C62165"/>
    <w:rsid w:val="00C674F9"/>
    <w:rsid w:val="00C755E2"/>
    <w:rsid w:val="00C75C10"/>
    <w:rsid w:val="00C96BE2"/>
    <w:rsid w:val="00CA3C49"/>
    <w:rsid w:val="00CA4503"/>
    <w:rsid w:val="00CA65B3"/>
    <w:rsid w:val="00CA7221"/>
    <w:rsid w:val="00CA777B"/>
    <w:rsid w:val="00CB1CC5"/>
    <w:rsid w:val="00CC3E74"/>
    <w:rsid w:val="00CD70D8"/>
    <w:rsid w:val="00CE17A0"/>
    <w:rsid w:val="00CE17C1"/>
    <w:rsid w:val="00D32CCA"/>
    <w:rsid w:val="00D42E20"/>
    <w:rsid w:val="00D958E2"/>
    <w:rsid w:val="00D95A22"/>
    <w:rsid w:val="00DB284A"/>
    <w:rsid w:val="00DD2EDA"/>
    <w:rsid w:val="00DD3217"/>
    <w:rsid w:val="00DD5019"/>
    <w:rsid w:val="00DE11B2"/>
    <w:rsid w:val="00DE6FF9"/>
    <w:rsid w:val="00E12392"/>
    <w:rsid w:val="00E16E37"/>
    <w:rsid w:val="00E21EB5"/>
    <w:rsid w:val="00E24E12"/>
    <w:rsid w:val="00E33A42"/>
    <w:rsid w:val="00E37E6D"/>
    <w:rsid w:val="00E44B7E"/>
    <w:rsid w:val="00E53D7A"/>
    <w:rsid w:val="00E541F2"/>
    <w:rsid w:val="00E6094F"/>
    <w:rsid w:val="00E950D7"/>
    <w:rsid w:val="00EF383D"/>
    <w:rsid w:val="00EF6B56"/>
    <w:rsid w:val="00F15294"/>
    <w:rsid w:val="00F27977"/>
    <w:rsid w:val="00F524DD"/>
    <w:rsid w:val="00F60947"/>
    <w:rsid w:val="00F67E2A"/>
    <w:rsid w:val="00F714BA"/>
    <w:rsid w:val="00F73FBD"/>
    <w:rsid w:val="00F96976"/>
    <w:rsid w:val="00F97108"/>
    <w:rsid w:val="00FA42F5"/>
    <w:rsid w:val="00FA4DBF"/>
    <w:rsid w:val="00FC0125"/>
    <w:rsid w:val="00FC20C9"/>
    <w:rsid w:val="00FD59B7"/>
    <w:rsid w:val="02D64CDF"/>
    <w:rsid w:val="03936291"/>
    <w:rsid w:val="074C6FF2"/>
    <w:rsid w:val="10CF31E2"/>
    <w:rsid w:val="1FB41554"/>
    <w:rsid w:val="23A5223C"/>
    <w:rsid w:val="2A5021A9"/>
    <w:rsid w:val="33447910"/>
    <w:rsid w:val="357B566E"/>
    <w:rsid w:val="36B27683"/>
    <w:rsid w:val="39D57280"/>
    <w:rsid w:val="3D700133"/>
    <w:rsid w:val="41CE6D3D"/>
    <w:rsid w:val="4F3D3681"/>
    <w:rsid w:val="4FF1E322"/>
    <w:rsid w:val="52C44550"/>
    <w:rsid w:val="57BF3871"/>
    <w:rsid w:val="5A595BB0"/>
    <w:rsid w:val="5BDD0744"/>
    <w:rsid w:val="5BEBEFEE"/>
    <w:rsid w:val="637F9D28"/>
    <w:rsid w:val="72BB14F5"/>
    <w:rsid w:val="743E0CC4"/>
    <w:rsid w:val="74882B09"/>
    <w:rsid w:val="AADFB0E5"/>
    <w:rsid w:val="F7C78E6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b/>
      <w:kern w:val="44"/>
      <w:sz w:val="44"/>
    </w:rPr>
  </w:style>
  <w:style w:type="paragraph" w:styleId="4">
    <w:name w:val="heading 3"/>
    <w:basedOn w:val="1"/>
    <w:next w:val="1"/>
    <w:autoRedefine/>
    <w:unhideWhenUsed/>
    <w:qFormat/>
    <w:uiPriority w:val="9"/>
    <w:pPr>
      <w:spacing w:beforeAutospacing="1" w:afterAutospacing="1"/>
      <w:jc w:val="left"/>
      <w:outlineLvl w:val="2"/>
    </w:pPr>
    <w:rPr>
      <w:rFonts w:hint="eastAsia" w:ascii="宋体" w:hAnsi="宋体" w:eastAsia="宋体" w:cs="Times New Roman"/>
      <w:b/>
      <w:kern w:val="0"/>
      <w:sz w:val="27"/>
      <w:szCs w:val="27"/>
    </w:rPr>
  </w:style>
  <w:style w:type="paragraph" w:styleId="5">
    <w:name w:val="heading 4"/>
    <w:basedOn w:val="1"/>
    <w:next w:val="1"/>
    <w:autoRedefine/>
    <w:qFormat/>
    <w:uiPriority w:val="0"/>
    <w:pPr>
      <w:keepNext/>
      <w:keepLines/>
      <w:spacing w:before="280" w:after="290" w:line="376" w:lineRule="auto"/>
      <w:outlineLvl w:val="3"/>
    </w:pPr>
    <w:rPr>
      <w:rFonts w:ascii="Calibri Light" w:hAnsi="Calibri Light" w:eastAsia="宋体" w:cs="Times New Roman"/>
      <w:b/>
      <w:bCs/>
      <w:sz w:val="28"/>
      <w:szCs w:val="28"/>
    </w:rPr>
  </w:style>
  <w:style w:type="character" w:default="1" w:styleId="13">
    <w:name w:val="Default Paragraph Font"/>
    <w:autoRedefine/>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Title"/>
    <w:basedOn w:val="1"/>
    <w:next w:val="1"/>
    <w:autoRedefine/>
    <w:qFormat/>
    <w:uiPriority w:val="0"/>
    <w:pPr>
      <w:pBdr>
        <w:top w:val="single" w:color="A7BFDE" w:sz="8" w:space="10"/>
        <w:bottom w:val="single" w:color="9BBB59" w:sz="24" w:space="15"/>
      </w:pBdr>
      <w:jc w:val="center"/>
    </w:pPr>
    <w:rPr>
      <w:rFonts w:ascii="宋体" w:hAnsi="Courier New" w:cs="Courier New"/>
      <w:szCs w:val="21"/>
    </w:rPr>
  </w:style>
  <w:style w:type="paragraph" w:styleId="6">
    <w:name w:val="Body Text Indent"/>
    <w:basedOn w:val="1"/>
    <w:link w:val="22"/>
    <w:autoRedefine/>
    <w:uiPriority w:val="0"/>
    <w:pPr>
      <w:spacing w:line="200" w:lineRule="exact"/>
      <w:ind w:firstLine="301"/>
    </w:pPr>
    <w:rPr>
      <w:rFonts w:ascii="宋体" w:hAnsi="Courier New" w:eastAsia="宋体" w:cs="Times New Roman"/>
      <w:spacing w:val="-4"/>
      <w:kern w:val="0"/>
      <w:sz w:val="18"/>
      <w:szCs w:val="20"/>
      <w:lang w:val="zh-CN" w:eastAsia="zh-CN"/>
    </w:rPr>
  </w:style>
  <w:style w:type="paragraph" w:styleId="7">
    <w:name w:val="Plain Text"/>
    <w:basedOn w:val="1"/>
    <w:next w:val="1"/>
    <w:link w:val="18"/>
    <w:qFormat/>
    <w:uiPriority w:val="0"/>
    <w:rPr>
      <w:rFonts w:ascii="宋体" w:hAnsi="Courier New" w:eastAsia="宋体" w:cs="Times New Roman"/>
      <w:szCs w:val="20"/>
    </w:rPr>
  </w:style>
  <w:style w:type="paragraph" w:styleId="8">
    <w:name w:val="endnote text"/>
    <w:basedOn w:val="1"/>
    <w:link w:val="16"/>
    <w:autoRedefine/>
    <w:semiHidden/>
    <w:unhideWhenUsed/>
    <w:qFormat/>
    <w:uiPriority w:val="99"/>
    <w:pPr>
      <w:snapToGrid w:val="0"/>
      <w:jc w:val="left"/>
    </w:pPr>
  </w:style>
  <w:style w:type="paragraph" w:styleId="9">
    <w:name w:val="footer"/>
    <w:basedOn w:val="1"/>
    <w:link w:val="21"/>
    <w:autoRedefine/>
    <w:unhideWhenUsed/>
    <w:uiPriority w:val="99"/>
    <w:pPr>
      <w:tabs>
        <w:tab w:val="center" w:pos="4153"/>
        <w:tab w:val="right" w:pos="8306"/>
      </w:tabs>
      <w:snapToGrid w:val="0"/>
      <w:jc w:val="left"/>
    </w:pPr>
    <w:rPr>
      <w:sz w:val="18"/>
      <w:szCs w:val="18"/>
    </w:rPr>
  </w:style>
  <w:style w:type="paragraph" w:styleId="10">
    <w:name w:val="header"/>
    <w:basedOn w:val="1"/>
    <w:link w:val="20"/>
    <w:unhideWhenUsed/>
    <w:uiPriority w:val="99"/>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endnote reference"/>
    <w:basedOn w:val="13"/>
    <w:autoRedefine/>
    <w:semiHidden/>
    <w:unhideWhenUsed/>
    <w:qFormat/>
    <w:uiPriority w:val="99"/>
    <w:rPr>
      <w:vertAlign w:val="superscript"/>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customStyle="1" w:styleId="16">
    <w:name w:val="尾注文本 Char"/>
    <w:basedOn w:val="13"/>
    <w:link w:val="8"/>
    <w:autoRedefine/>
    <w:semiHidden/>
    <w:qFormat/>
    <w:uiPriority w:val="99"/>
  </w:style>
  <w:style w:type="paragraph" w:customStyle="1" w:styleId="17">
    <w:name w:val="Default"/>
    <w:autoRedefine/>
    <w:qFormat/>
    <w:uiPriority w:val="0"/>
    <w:pPr>
      <w:widowControl w:val="0"/>
      <w:autoSpaceDE w:val="0"/>
      <w:autoSpaceDN w:val="0"/>
      <w:adjustRightInd w:val="0"/>
    </w:pPr>
    <w:rPr>
      <w:rFonts w:ascii="Microsoft YaHei UI" w:hAnsi="Calibri" w:eastAsia="Microsoft YaHei UI" w:cs="Microsoft YaHei UI"/>
      <w:color w:val="000000"/>
      <w:sz w:val="24"/>
      <w:szCs w:val="24"/>
      <w:lang w:val="en-US" w:eastAsia="zh-CN" w:bidi="ar-SA"/>
    </w:rPr>
  </w:style>
  <w:style w:type="character" w:customStyle="1" w:styleId="18">
    <w:name w:val="纯文本 Char"/>
    <w:basedOn w:val="13"/>
    <w:link w:val="7"/>
    <w:autoRedefine/>
    <w:qFormat/>
    <w:uiPriority w:val="0"/>
    <w:rPr>
      <w:rFonts w:ascii="宋体" w:hAnsi="Courier New"/>
      <w:kern w:val="2"/>
      <w:sz w:val="21"/>
    </w:rPr>
  </w:style>
  <w:style w:type="paragraph" w:customStyle="1" w:styleId="19">
    <w:name w:val="正文（首行缩进2字符）"/>
    <w:basedOn w:val="1"/>
    <w:autoRedefine/>
    <w:qFormat/>
    <w:uiPriority w:val="99"/>
    <w:pPr>
      <w:spacing w:line="360" w:lineRule="auto"/>
      <w:ind w:firstLine="420" w:firstLineChars="200"/>
    </w:pPr>
    <w:rPr>
      <w:rFonts w:ascii="Times New Roman" w:hAnsi="Times New Roman" w:eastAsia="宋体" w:cs="Times New Roman"/>
      <w:szCs w:val="21"/>
    </w:rPr>
  </w:style>
  <w:style w:type="character" w:customStyle="1" w:styleId="20">
    <w:name w:val="页眉 Char"/>
    <w:basedOn w:val="13"/>
    <w:link w:val="10"/>
    <w:autoRedefine/>
    <w:qFormat/>
    <w:uiPriority w:val="99"/>
    <w:rPr>
      <w:rFonts w:asciiTheme="minorHAnsi" w:hAnsiTheme="minorHAnsi" w:eastAsiaTheme="minorEastAsia" w:cstheme="minorBidi"/>
      <w:kern w:val="2"/>
      <w:sz w:val="18"/>
      <w:szCs w:val="18"/>
    </w:rPr>
  </w:style>
  <w:style w:type="character" w:customStyle="1" w:styleId="21">
    <w:name w:val="页脚 Char"/>
    <w:basedOn w:val="13"/>
    <w:link w:val="9"/>
    <w:uiPriority w:val="99"/>
    <w:rPr>
      <w:rFonts w:asciiTheme="minorHAnsi" w:hAnsiTheme="minorHAnsi" w:eastAsiaTheme="minorEastAsia" w:cstheme="minorBidi"/>
      <w:kern w:val="2"/>
      <w:sz w:val="18"/>
      <w:szCs w:val="18"/>
    </w:rPr>
  </w:style>
  <w:style w:type="character" w:customStyle="1" w:styleId="22">
    <w:name w:val="正文文本缩进 Char"/>
    <w:basedOn w:val="13"/>
    <w:link w:val="6"/>
    <w:uiPriority w:val="0"/>
    <w:rPr>
      <w:rFonts w:ascii="宋体" w:hAnsi="Courier New"/>
      <w:spacing w:val="-4"/>
      <w:sz w:val="18"/>
      <w:lang w:val="zh-CN" w:eastAsia="zh-CN"/>
    </w:rPr>
  </w:style>
  <w:style w:type="paragraph" w:customStyle="1" w:styleId="23">
    <w:name w:val="Plain Text"/>
    <w:basedOn w:val="1"/>
    <w:autoRedefine/>
    <w:qFormat/>
    <w:uiPriority w:val="0"/>
    <w:pPr>
      <w:widowControl/>
      <w:jc w:val="left"/>
    </w:pPr>
    <w:rPr>
      <w:rFonts w:hint="eastAsia" w:ascii="宋体" w:hAnsi="Courier New" w:eastAsia="宋体" w:cs="Times New Roman"/>
      <w:szCs w:val="20"/>
    </w:rPr>
  </w:style>
  <w:style w:type="paragraph" w:customStyle="1" w:styleId="24">
    <w:name w:val="Plain Text1"/>
    <w:basedOn w:val="1"/>
    <w:autoRedefine/>
    <w:qFormat/>
    <w:uiPriority w:val="0"/>
    <w:pPr>
      <w:widowControl/>
      <w:jc w:val="left"/>
    </w:pPr>
    <w:rPr>
      <w:rFonts w:hint="eastAsia" w:ascii="宋体" w:hAnsi="Courier New" w:eastAsia="宋体" w:cs="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1449</Words>
  <Characters>8263</Characters>
  <Lines>68</Lines>
  <Paragraphs>19</Paragraphs>
  <TotalTime>158</TotalTime>
  <ScaleCrop>false</ScaleCrop>
  <LinksUpToDate>false</LinksUpToDate>
  <CharactersWithSpaces>9693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2025-12-22T07:37:00Z</dcterms:created>
  <dc:creator>chencheng@huorong.cn</dc:creator>
  <cp:lastModifiedBy>浦南小太阳</cp:lastModifiedBy>
  <dcterms:modified xsi:type="dcterms:W3CDTF">2026-03-24T07:19:44Z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8EEFC0015802457E90DFCEFD9792A298</vt:lpwstr>
  </property>
</Properties>
</file>